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E4664B" w:rsidRPr="00207B41" w14:paraId="42D11746" w14:textId="77777777" w:rsidTr="00B3124D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E56CBB0" w14:textId="77777777" w:rsidR="00E4664B" w:rsidRPr="00207B41" w:rsidRDefault="00E4664B" w:rsidP="00642AF7">
            <w:pPr>
              <w:pStyle w:val="IBul1"/>
              <w:tabs>
                <w:tab w:val="clear" w:pos="720"/>
                <w:tab w:val="left" w:pos="708"/>
              </w:tabs>
              <w:ind w:left="360"/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Osnovni podaci</w:t>
            </w:r>
          </w:p>
        </w:tc>
      </w:tr>
    </w:tbl>
    <w:p w14:paraId="6A76A754" w14:textId="77777777" w:rsidR="00E4664B" w:rsidRPr="00207B41" w:rsidRDefault="00E4664B" w:rsidP="00642AF7">
      <w:pPr>
        <w:pStyle w:val="INormal"/>
        <w:rPr>
          <w:rFonts w:cs="Arial"/>
          <w:b/>
          <w:sz w:val="24"/>
          <w:szCs w:val="24"/>
          <w:lang w:val="hr-HR"/>
        </w:rPr>
      </w:pPr>
    </w:p>
    <w:p w14:paraId="64FE259E" w14:textId="77777777" w:rsidR="002C63E6" w:rsidRPr="00207B41" w:rsidRDefault="002C63E6" w:rsidP="00642AF7">
      <w:pPr>
        <w:pStyle w:val="INormal"/>
        <w:rPr>
          <w:rFonts w:cs="Arial"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>Službeni naziv:</w:t>
      </w:r>
      <w:r w:rsidRPr="00207B41">
        <w:rPr>
          <w:rFonts w:cs="Arial"/>
          <w:b/>
          <w:sz w:val="24"/>
          <w:szCs w:val="24"/>
          <w:lang w:val="hr-HR"/>
        </w:rPr>
        <w:tab/>
      </w:r>
      <w:r w:rsidRPr="00207B41">
        <w:rPr>
          <w:rFonts w:cs="Arial"/>
          <w:sz w:val="24"/>
          <w:szCs w:val="24"/>
          <w:lang w:val="hr-HR"/>
        </w:rPr>
        <w:t>Savezna Republika Brazil</w:t>
      </w:r>
    </w:p>
    <w:p w14:paraId="04F61204" w14:textId="68AC8BEC" w:rsidR="002C63E6" w:rsidRPr="00207B41" w:rsidRDefault="002C63E6" w:rsidP="00642AF7">
      <w:pPr>
        <w:pStyle w:val="INormal"/>
        <w:rPr>
          <w:rFonts w:cs="Arial"/>
          <w:b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 xml:space="preserve">Glavni grad: </w:t>
      </w:r>
      <w:r w:rsidRPr="00207B41">
        <w:rPr>
          <w:rFonts w:cs="Arial"/>
          <w:b/>
          <w:sz w:val="24"/>
          <w:szCs w:val="24"/>
          <w:lang w:val="hr-HR"/>
        </w:rPr>
        <w:tab/>
      </w:r>
      <w:r w:rsidR="00207B41" w:rsidRPr="00207B41">
        <w:rPr>
          <w:rFonts w:cs="Arial"/>
          <w:sz w:val="24"/>
          <w:szCs w:val="24"/>
          <w:lang w:val="hr-HR"/>
        </w:rPr>
        <w:t>Brasilija</w:t>
      </w:r>
    </w:p>
    <w:p w14:paraId="6F1DE157" w14:textId="77777777" w:rsidR="002C63E6" w:rsidRPr="00207B41" w:rsidRDefault="002C63E6" w:rsidP="00642AF7">
      <w:pPr>
        <w:pStyle w:val="INormal"/>
        <w:rPr>
          <w:rFonts w:cs="Arial"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>Površina:</w:t>
      </w:r>
      <w:r w:rsidRPr="00207B41">
        <w:rPr>
          <w:rFonts w:cs="Arial"/>
          <w:b/>
          <w:sz w:val="24"/>
          <w:szCs w:val="24"/>
          <w:lang w:val="hr-HR"/>
        </w:rPr>
        <w:tab/>
      </w:r>
      <w:r w:rsidRPr="00207B41">
        <w:rPr>
          <w:rFonts w:cs="Arial"/>
          <w:sz w:val="24"/>
          <w:szCs w:val="24"/>
          <w:lang w:val="hr-HR"/>
        </w:rPr>
        <w:t>8.514.877 km</w:t>
      </w:r>
      <w:r w:rsidRPr="00207B41">
        <w:rPr>
          <w:rFonts w:cs="Arial"/>
          <w:sz w:val="24"/>
          <w:szCs w:val="24"/>
          <w:vertAlign w:val="superscript"/>
          <w:lang w:val="hr-HR"/>
        </w:rPr>
        <w:t>2</w:t>
      </w:r>
      <w:r w:rsidRPr="00207B41">
        <w:rPr>
          <w:rFonts w:cs="Arial"/>
          <w:sz w:val="24"/>
          <w:szCs w:val="24"/>
          <w:lang w:val="hr-HR"/>
        </w:rPr>
        <w:tab/>
      </w:r>
    </w:p>
    <w:p w14:paraId="685AC828" w14:textId="01886A18" w:rsidR="002C63E6" w:rsidRPr="00207B41" w:rsidRDefault="002C63E6" w:rsidP="00642AF7">
      <w:pPr>
        <w:pStyle w:val="INormal"/>
        <w:rPr>
          <w:rFonts w:cs="Arial"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>Broj stanovnika:</w:t>
      </w:r>
      <w:r w:rsidRPr="00207B41">
        <w:rPr>
          <w:rFonts w:cs="Arial"/>
          <w:b/>
          <w:sz w:val="24"/>
          <w:szCs w:val="24"/>
          <w:lang w:val="hr-HR"/>
        </w:rPr>
        <w:tab/>
      </w:r>
      <w:r w:rsidR="00C35977" w:rsidRPr="00C35977">
        <w:rPr>
          <w:rFonts w:cs="Arial"/>
          <w:bCs/>
          <w:sz w:val="24"/>
          <w:szCs w:val="24"/>
          <w:lang w:val="hr-HR"/>
        </w:rPr>
        <w:t>214.08</w:t>
      </w:r>
      <w:r w:rsidRPr="00207B41">
        <w:rPr>
          <w:rFonts w:cs="Arial"/>
          <w:sz w:val="24"/>
          <w:szCs w:val="24"/>
          <w:lang w:val="hr-HR"/>
        </w:rPr>
        <w:t xml:space="preserve"> milijuna </w:t>
      </w:r>
    </w:p>
    <w:p w14:paraId="5D442625" w14:textId="360D036E" w:rsidR="00207B41" w:rsidRDefault="002C63E6" w:rsidP="006E425B">
      <w:pPr>
        <w:pStyle w:val="INormal"/>
        <w:rPr>
          <w:rFonts w:cs="Arial"/>
          <w:b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>Službeni jezik:</w:t>
      </w:r>
      <w:r w:rsidRPr="00207B41">
        <w:rPr>
          <w:rFonts w:cs="Arial"/>
          <w:b/>
          <w:sz w:val="24"/>
          <w:szCs w:val="24"/>
          <w:lang w:val="hr-HR"/>
        </w:rPr>
        <w:tab/>
      </w:r>
      <w:r w:rsidRPr="00207B41">
        <w:rPr>
          <w:rFonts w:cs="Arial"/>
          <w:sz w:val="24"/>
          <w:szCs w:val="24"/>
          <w:lang w:val="hr-HR"/>
        </w:rPr>
        <w:t>portugalski</w:t>
      </w:r>
    </w:p>
    <w:p w14:paraId="0585E330" w14:textId="127C2562" w:rsidR="00C16671" w:rsidRPr="00207B41" w:rsidRDefault="002C63E6" w:rsidP="00642AF7">
      <w:pPr>
        <w:pStyle w:val="INormal"/>
        <w:spacing w:after="0"/>
        <w:rPr>
          <w:rFonts w:cs="Arial"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 xml:space="preserve">Članstvo u međunarodnim gospodarskim organizacijama: </w:t>
      </w:r>
      <w:r w:rsidR="00315531" w:rsidRPr="00315531">
        <w:rPr>
          <w:rFonts w:cs="Arial"/>
          <w:sz w:val="24"/>
          <w:szCs w:val="24"/>
          <w:lang w:val="hr-HR"/>
        </w:rPr>
        <w:t>Svjetska trgovinska organizacija (WTO), Međunarodni monetarni fond (IMF), Svjetska banka (World Bank Group), Grupa 20 (G20), BRICS (Brazil, Rusija, Indija, Kina, Južna Afrika), NDB – BRICS Bank (Razvojna banka osnovana od strane BRICS-a, sjedište u Šangaju), MERCOSUR (Mercado Común del Sur - Regionalna gospodarska integracija Brazil, Argentina, Paragvaj, Urugvaj), Latinoameričko integracijsko udruženje (ALADI), Međuamerička razvojna banka  (IDB), Razvojna banka Latinske Amerike i Kariba (CAF), Banka za međunarodna poravnavanja (BIS), Svjetska carinska organizacija (WCO).</w:t>
      </w:r>
    </w:p>
    <w:p w14:paraId="6DEC984C" w14:textId="77777777" w:rsidR="00AE0763" w:rsidRPr="00207B41" w:rsidRDefault="00AE0763" w:rsidP="00642AF7">
      <w:pPr>
        <w:pStyle w:val="INormal"/>
        <w:rPr>
          <w:sz w:val="24"/>
          <w:szCs w:val="24"/>
          <w:lang w:val="hr-HR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16671" w:rsidRPr="00207B41" w14:paraId="70E99253" w14:textId="77777777" w:rsidTr="00C1667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7C695B89" w14:textId="77777777" w:rsidR="00C16671" w:rsidRPr="00207B41" w:rsidRDefault="00C16671" w:rsidP="00642AF7">
            <w:pPr>
              <w:pStyle w:val="IBul1"/>
              <w:tabs>
                <w:tab w:val="clear" w:pos="720"/>
                <w:tab w:val="left" w:pos="708"/>
              </w:tabs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Makroekonomski pokazatelji</w:t>
            </w:r>
          </w:p>
        </w:tc>
      </w:tr>
    </w:tbl>
    <w:p w14:paraId="4B9F6839" w14:textId="77777777" w:rsidR="00C16671" w:rsidRPr="00207B41" w:rsidRDefault="00C16671" w:rsidP="00642AF7">
      <w:pPr>
        <w:pStyle w:val="INormal"/>
        <w:rPr>
          <w:lang w:val="hr-HR"/>
        </w:rPr>
      </w:pPr>
    </w:p>
    <w:tbl>
      <w:tblPr>
        <w:tblpPr w:leftFromText="180" w:rightFromText="180" w:vertAnchor="text" w:horzAnchor="margin" w:tblpX="42" w:tblpY="194"/>
        <w:tblW w:w="508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112"/>
        <w:gridCol w:w="1217"/>
        <w:gridCol w:w="1217"/>
        <w:gridCol w:w="1217"/>
        <w:gridCol w:w="1217"/>
        <w:gridCol w:w="1219"/>
      </w:tblGrid>
      <w:tr w:rsidR="007113E8" w:rsidRPr="00207B41" w14:paraId="0B8A94A3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</w:tcPr>
          <w:p w14:paraId="3D6E261A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64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45B893A7" w14:textId="76CC2118" w:rsidR="007113E8" w:rsidRPr="00207B41" w:rsidRDefault="002809A5" w:rsidP="00642AF7">
            <w:pPr>
              <w:tabs>
                <w:tab w:val="left" w:pos="2268"/>
              </w:tabs>
              <w:suppressAutoHyphens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2020.</w:t>
            </w:r>
          </w:p>
        </w:tc>
        <w:tc>
          <w:tcPr>
            <w:tcW w:w="64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55055033" w14:textId="6412C557" w:rsidR="007113E8" w:rsidRPr="00207B41" w:rsidRDefault="002809A5" w:rsidP="00642AF7">
            <w:pPr>
              <w:tabs>
                <w:tab w:val="left" w:pos="2268"/>
              </w:tabs>
              <w:suppressAutoHyphens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2021.</w:t>
            </w:r>
          </w:p>
        </w:tc>
        <w:tc>
          <w:tcPr>
            <w:tcW w:w="64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47E288E5" w14:textId="20C50BFE" w:rsidR="007113E8" w:rsidRPr="00207B41" w:rsidRDefault="002809A5" w:rsidP="00642AF7">
            <w:pPr>
              <w:tabs>
                <w:tab w:val="left" w:pos="2268"/>
              </w:tabs>
              <w:suppressAutoHyphens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2022.</w:t>
            </w:r>
          </w:p>
        </w:tc>
        <w:tc>
          <w:tcPr>
            <w:tcW w:w="64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58AAA743" w14:textId="1CD92044" w:rsidR="007113E8" w:rsidRPr="00207B41" w:rsidRDefault="002809A5" w:rsidP="00642AF7">
            <w:pPr>
              <w:tabs>
                <w:tab w:val="left" w:pos="2268"/>
              </w:tabs>
              <w:suppressAutoHyphens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2023.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25DF88A9" w14:textId="7E8D409A" w:rsidR="007113E8" w:rsidRPr="00207B41" w:rsidRDefault="002809A5" w:rsidP="00642AF7">
            <w:pPr>
              <w:tabs>
                <w:tab w:val="left" w:pos="2268"/>
              </w:tabs>
              <w:suppressAutoHyphens w:val="0"/>
              <w:jc w:val="center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2024.</w:t>
            </w:r>
          </w:p>
        </w:tc>
      </w:tr>
      <w:tr w:rsidR="007113E8" w:rsidRPr="00207B41" w14:paraId="71E447AE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5E74F180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BDP (milijarde USD)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761B5DC" w14:textId="32B12979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1,4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A8A8427" w14:textId="3D210E63" w:rsidR="007113E8" w:rsidRPr="00207B41" w:rsidRDefault="008510AB" w:rsidP="006E425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1,6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EFC8DBA" w14:textId="0208ECFE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1,9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9D6164D" w14:textId="472C4573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2,1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5225A04" w14:textId="09A2CE42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2,1</w:t>
            </w:r>
          </w:p>
        </w:tc>
      </w:tr>
      <w:tr w:rsidR="007113E8" w:rsidRPr="00207B41" w14:paraId="0D711A10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5D9EE48E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BDP po stanovniku (USD)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3B30FA7" w14:textId="64631A6A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7.074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76C3B01" w14:textId="48F95263" w:rsidR="007113E8" w:rsidRPr="00207B41" w:rsidRDefault="008510AB" w:rsidP="006E425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7.972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E207E31" w14:textId="1FDA7FCD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9.281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0F95D5C7" w14:textId="1C659B2A" w:rsidR="007113E8" w:rsidRPr="00207B41" w:rsidRDefault="008510AB" w:rsidP="00642AF7">
            <w:pPr>
              <w:tabs>
                <w:tab w:val="left" w:pos="2268"/>
              </w:tabs>
              <w:suppressAutoHyphens w:val="0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10.377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236DAB6" w14:textId="00FE5CE0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10.280</w:t>
            </w:r>
          </w:p>
        </w:tc>
      </w:tr>
      <w:tr w:rsidR="007113E8" w:rsidRPr="00207B41" w14:paraId="3AFAD54C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47019628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Realni rast BDP-a (%)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22EA4BCF" w14:textId="368083BC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-3,2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116AFE6C" w14:textId="445C810A" w:rsidR="007113E8" w:rsidRPr="00207B41" w:rsidRDefault="008510AB" w:rsidP="00EB7C18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4,7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0AF2DE1" w14:textId="7EE323FB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B7FF6DD" w14:textId="45EA6617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3,2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72E6C3B" w14:textId="511D17FE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3,3</w:t>
            </w:r>
          </w:p>
        </w:tc>
      </w:tr>
      <w:tr w:rsidR="007113E8" w:rsidRPr="00207B41" w14:paraId="252616C2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43D5917C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Inflacija (%)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33B29D2" w14:textId="5B2C599E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3,2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FC04D15" w14:textId="4610BE45" w:rsidR="007113E8" w:rsidRPr="00207B41" w:rsidRDefault="008510AB" w:rsidP="006E425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8,3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F59F8C4" w14:textId="7361027B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9,2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9A964BF" w14:textId="31735844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4,5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28AE2A9" w14:textId="7646B0E3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4,3</w:t>
            </w:r>
          </w:p>
        </w:tc>
      </w:tr>
      <w:tr w:rsidR="007113E8" w:rsidRPr="00207B41" w14:paraId="0E197C2D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4143CE25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Nezaposlenost (%)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61483EBA" w14:textId="49ACDABB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13,6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2B9B44E1" w14:textId="2C62B849" w:rsidR="007113E8" w:rsidRPr="00207B41" w:rsidRDefault="008510AB" w:rsidP="006E425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13,1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EAE475F" w14:textId="02167DDE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9,2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7EF50D55" w14:textId="4E691B98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7,9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1A0D5F9B" w14:textId="2A69438D" w:rsidR="007113E8" w:rsidRPr="00207B41" w:rsidRDefault="008510AB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7,6</w:t>
            </w:r>
          </w:p>
        </w:tc>
      </w:tr>
      <w:tr w:rsidR="007113E8" w:rsidRPr="00207B41" w14:paraId="77274F74" w14:textId="77777777" w:rsidTr="00E4664B">
        <w:trPr>
          <w:trHeight w:val="397"/>
          <w:tblCellSpacing w:w="20" w:type="dxa"/>
        </w:trPr>
        <w:tc>
          <w:tcPr>
            <w:tcW w:w="1659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9CC2E5" w:themeFill="accent1" w:themeFillTint="99"/>
            <w:hideMark/>
          </w:tcPr>
          <w:p w14:paraId="02BD8D0A" w14:textId="77777777" w:rsidR="007113E8" w:rsidRPr="00207B41" w:rsidRDefault="007113E8" w:rsidP="00642AF7">
            <w:pPr>
              <w:tabs>
                <w:tab w:val="left" w:pos="2268"/>
              </w:tabs>
              <w:suppressAutoHyphens w:val="0"/>
              <w:jc w:val="left"/>
              <w:rPr>
                <w:b/>
                <w:sz w:val="24"/>
                <w:szCs w:val="24"/>
                <w:lang w:eastAsia="en-US"/>
              </w:rPr>
            </w:pPr>
            <w:r w:rsidRPr="00207B41">
              <w:rPr>
                <w:b/>
                <w:sz w:val="24"/>
                <w:szCs w:val="24"/>
                <w:lang w:eastAsia="en-US"/>
              </w:rPr>
              <w:t>Izravna strana ulaganja (milijarde USD)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3CD85F12" w14:textId="5C2B6258" w:rsidR="007113E8" w:rsidRPr="00207B41" w:rsidRDefault="008510AB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38</w:t>
            </w:r>
            <w:r w:rsidR="009306D1" w:rsidRPr="00207B41">
              <w:rPr>
                <w:rFonts w:cs="Arial"/>
                <w:sz w:val="24"/>
                <w:szCs w:val="24"/>
                <w:lang w:val="hr-HR"/>
              </w:rPr>
              <w:t>,2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53C41659" w14:textId="16E34EFE" w:rsidR="007113E8" w:rsidRPr="00207B41" w:rsidRDefault="008510AB" w:rsidP="006E425B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46,4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249A38E3" w14:textId="203018EA" w:rsidR="007113E8" w:rsidRPr="00207B41" w:rsidRDefault="009306D1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74,6</w:t>
            </w:r>
          </w:p>
        </w:tc>
        <w:tc>
          <w:tcPr>
            <w:tcW w:w="640" w:type="pct"/>
            <w:shd w:val="clear" w:color="auto" w:fill="FFFFFF"/>
            <w:vAlign w:val="center"/>
          </w:tcPr>
          <w:p w14:paraId="4B852D2A" w14:textId="5F37F698" w:rsidR="007113E8" w:rsidRPr="00207B41" w:rsidRDefault="009306D1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62,4</w:t>
            </w:r>
          </w:p>
        </w:tc>
        <w:tc>
          <w:tcPr>
            <w:tcW w:w="630" w:type="pc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F226FC9" w14:textId="393D9CD8" w:rsidR="007113E8" w:rsidRPr="00207B41" w:rsidRDefault="009306D1" w:rsidP="00642AF7">
            <w:pPr>
              <w:tabs>
                <w:tab w:val="left" w:pos="2268"/>
              </w:tabs>
              <w:suppressAutoHyphens w:val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71</w:t>
            </w:r>
          </w:p>
        </w:tc>
      </w:tr>
    </w:tbl>
    <w:p w14:paraId="3A200263" w14:textId="77777777" w:rsidR="00F36A94" w:rsidRPr="00207B41" w:rsidRDefault="00F36A94" w:rsidP="00642AF7">
      <w:pPr>
        <w:pStyle w:val="INormal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 xml:space="preserve">Izvor: </w:t>
      </w:r>
      <w:r w:rsidR="00172F08" w:rsidRPr="00207B41">
        <w:rPr>
          <w:rFonts w:cs="Arial"/>
          <w:i/>
          <w:lang w:val="hr-HR"/>
        </w:rPr>
        <w:t>The World Bank</w:t>
      </w:r>
    </w:p>
    <w:p w14:paraId="79086382" w14:textId="5EBA6A2D" w:rsidR="009B182F" w:rsidRPr="00207B41" w:rsidRDefault="00F36A94" w:rsidP="00642AF7">
      <w:pPr>
        <w:pStyle w:val="INormal"/>
        <w:rPr>
          <w:rFonts w:cs="Arial"/>
          <w:sz w:val="24"/>
          <w:szCs w:val="24"/>
          <w:lang w:val="hr-HR"/>
        </w:rPr>
      </w:pPr>
      <w:r w:rsidRPr="00207B41">
        <w:rPr>
          <w:rFonts w:cs="Arial"/>
          <w:b/>
          <w:sz w:val="24"/>
          <w:szCs w:val="24"/>
          <w:lang w:val="hr-HR"/>
        </w:rPr>
        <w:t>Struktura BDP-a</w:t>
      </w:r>
      <w:r w:rsidR="007113E8" w:rsidRPr="00207B41">
        <w:rPr>
          <w:rFonts w:cs="Arial"/>
          <w:b/>
          <w:sz w:val="24"/>
          <w:szCs w:val="24"/>
          <w:lang w:val="hr-HR"/>
        </w:rPr>
        <w:t xml:space="preserve"> u </w:t>
      </w:r>
      <w:r w:rsidR="002809A5" w:rsidRPr="00207B41">
        <w:rPr>
          <w:rFonts w:cs="Arial"/>
          <w:b/>
          <w:sz w:val="24"/>
          <w:szCs w:val="24"/>
          <w:lang w:val="hr-HR"/>
        </w:rPr>
        <w:t>2024.</w:t>
      </w:r>
      <w:r w:rsidRPr="00207B41">
        <w:rPr>
          <w:rFonts w:cs="Arial"/>
          <w:b/>
          <w:sz w:val="24"/>
          <w:szCs w:val="24"/>
          <w:lang w:val="hr-HR"/>
        </w:rPr>
        <w:t xml:space="preserve">: </w:t>
      </w:r>
      <w:r w:rsidR="00C35977">
        <w:rPr>
          <w:rFonts w:cs="Arial"/>
          <w:bCs/>
          <w:sz w:val="24"/>
          <w:szCs w:val="24"/>
          <w:lang w:val="hr-HR"/>
        </w:rPr>
        <w:t>poljoprivreda 5,8</w:t>
      </w:r>
      <w:r w:rsidRPr="00207B41">
        <w:rPr>
          <w:rFonts w:cs="Arial"/>
          <w:sz w:val="24"/>
          <w:szCs w:val="24"/>
          <w:lang w:val="hr-HR"/>
        </w:rPr>
        <w:t>%</w:t>
      </w:r>
      <w:r w:rsidR="00C35977">
        <w:rPr>
          <w:rFonts w:cs="Arial"/>
          <w:sz w:val="24"/>
          <w:szCs w:val="24"/>
          <w:lang w:val="hr-HR"/>
        </w:rPr>
        <w:t>, industrija 20,9%, proizvodnja 12,1%, usluge 59,2%</w:t>
      </w:r>
      <w:r w:rsidRPr="00207B41">
        <w:rPr>
          <w:rFonts w:cs="Arial"/>
          <w:sz w:val="24"/>
          <w:szCs w:val="24"/>
          <w:lang w:val="hr-HR"/>
        </w:rPr>
        <w:t>.</w:t>
      </w:r>
    </w:p>
    <w:p w14:paraId="51DE605F" w14:textId="2EB77497" w:rsidR="002E3B95" w:rsidRDefault="00F36A94" w:rsidP="00642AF7">
      <w:pPr>
        <w:textAlignment w:val="center"/>
        <w:rPr>
          <w:rStyle w:val="hps"/>
          <w:sz w:val="24"/>
          <w:szCs w:val="24"/>
        </w:rPr>
      </w:pPr>
      <w:r w:rsidRPr="00207B41">
        <w:rPr>
          <w:b/>
          <w:sz w:val="24"/>
          <w:szCs w:val="24"/>
        </w:rPr>
        <w:t>Najvažnije industrije</w:t>
      </w:r>
      <w:r w:rsidR="002809A5" w:rsidRPr="00207B41">
        <w:rPr>
          <w:b/>
          <w:sz w:val="24"/>
          <w:szCs w:val="24"/>
        </w:rPr>
        <w:t xml:space="preserve"> u 2024</w:t>
      </w:r>
      <w:r w:rsidR="00911315" w:rsidRPr="00207B41">
        <w:rPr>
          <w:b/>
          <w:bCs/>
          <w:sz w:val="24"/>
          <w:szCs w:val="24"/>
        </w:rPr>
        <w:t xml:space="preserve">.: </w:t>
      </w:r>
      <w:r w:rsidR="00911315" w:rsidRPr="00207B41">
        <w:rPr>
          <w:sz w:val="24"/>
          <w:szCs w:val="24"/>
        </w:rPr>
        <w:t>energetika i nafta, poljoprivreda i agroindustrija (BR je jedan od najvećih svjetskih izvoznika soje, govedine, kave, šećera i kukuruza), automobilska i strojars</w:t>
      </w:r>
      <w:r w:rsidR="00207B41">
        <w:rPr>
          <w:sz w:val="24"/>
          <w:szCs w:val="24"/>
        </w:rPr>
        <w:t>ka</w:t>
      </w:r>
      <w:r w:rsidR="00911315" w:rsidRPr="00207B41">
        <w:rPr>
          <w:sz w:val="24"/>
          <w:szCs w:val="24"/>
        </w:rPr>
        <w:t xml:space="preserve"> industrija (automobilska industrija je jedna od najvećih proizvodnih grana, s više od 2 milijuna vozila godišnje), zrakoplovna i visoka tehnologija (</w:t>
      </w:r>
      <w:r w:rsidR="00207B41" w:rsidRPr="00207B41">
        <w:rPr>
          <w:sz w:val="24"/>
          <w:szCs w:val="24"/>
        </w:rPr>
        <w:t xml:space="preserve">São José dos Campos </w:t>
      </w:r>
      <w:r w:rsidR="00911315" w:rsidRPr="00207B41">
        <w:rPr>
          <w:sz w:val="24"/>
          <w:szCs w:val="24"/>
        </w:rPr>
        <w:t xml:space="preserve">je </w:t>
      </w:r>
      <w:r w:rsidR="00207B41">
        <w:rPr>
          <w:sz w:val="24"/>
          <w:szCs w:val="24"/>
        </w:rPr>
        <w:t>sjedište</w:t>
      </w:r>
      <w:r w:rsidR="00911315" w:rsidRPr="00207B41">
        <w:rPr>
          <w:sz w:val="24"/>
          <w:szCs w:val="24"/>
        </w:rPr>
        <w:t xml:space="preserve"> </w:t>
      </w:r>
      <w:r w:rsidR="00207B41" w:rsidRPr="00207B41">
        <w:rPr>
          <w:i/>
          <w:iCs/>
          <w:sz w:val="24"/>
          <w:szCs w:val="24"/>
        </w:rPr>
        <w:t>Embraer S.A.</w:t>
      </w:r>
      <w:r w:rsidR="00207B41">
        <w:rPr>
          <w:sz w:val="24"/>
          <w:szCs w:val="24"/>
        </w:rPr>
        <w:t>,</w:t>
      </w:r>
      <w:r w:rsidR="00207B41" w:rsidRPr="00207B41">
        <w:rPr>
          <w:sz w:val="24"/>
          <w:szCs w:val="24"/>
        </w:rPr>
        <w:t xml:space="preserve"> </w:t>
      </w:r>
      <w:r w:rsidR="00911315" w:rsidRPr="00207B41">
        <w:rPr>
          <w:sz w:val="24"/>
          <w:szCs w:val="24"/>
        </w:rPr>
        <w:t xml:space="preserve">jedne od najvećih svjetskih tvrtki u zrakoplovnoj industriji), </w:t>
      </w:r>
      <w:r w:rsidR="00207B41" w:rsidRPr="00207B41">
        <w:rPr>
          <w:sz w:val="24"/>
          <w:szCs w:val="24"/>
        </w:rPr>
        <w:t>petrokemija</w:t>
      </w:r>
      <w:r w:rsidR="00911315" w:rsidRPr="00207B41">
        <w:rPr>
          <w:sz w:val="24"/>
          <w:szCs w:val="24"/>
        </w:rPr>
        <w:t xml:space="preserve"> i kemijska industrija, građevinarstvo i materijali, tehnologija, ICT i </w:t>
      </w:r>
      <w:r w:rsidR="00911315" w:rsidRPr="00207B41">
        <w:rPr>
          <w:i/>
          <w:iCs/>
          <w:sz w:val="24"/>
          <w:szCs w:val="24"/>
        </w:rPr>
        <w:t>FinTech</w:t>
      </w:r>
      <w:r w:rsidR="00911315" w:rsidRPr="00207B41">
        <w:rPr>
          <w:sz w:val="24"/>
          <w:szCs w:val="24"/>
        </w:rPr>
        <w:t xml:space="preserve"> (BR je tehnološki lider u Latinskoj Americi),  rudarstvo i prirodni resursi (željezna ruda, zlato i drugi minerali)</w:t>
      </w:r>
      <w:r w:rsidR="00A22FEA" w:rsidRPr="00207B41">
        <w:rPr>
          <w:rStyle w:val="hps"/>
          <w:sz w:val="24"/>
          <w:szCs w:val="24"/>
        </w:rPr>
        <w:t>.</w:t>
      </w:r>
    </w:p>
    <w:p w14:paraId="4F009C39" w14:textId="2BCF3C78" w:rsidR="001B7EDE" w:rsidRDefault="001B7EDE">
      <w:pPr>
        <w:suppressAutoHyphens w:val="0"/>
        <w:spacing w:after="160" w:line="259" w:lineRule="auto"/>
        <w:jc w:val="left"/>
        <w:rPr>
          <w:rStyle w:val="hps"/>
          <w:b/>
          <w:sz w:val="24"/>
          <w:szCs w:val="24"/>
        </w:rPr>
      </w:pPr>
      <w:r>
        <w:rPr>
          <w:rStyle w:val="hps"/>
          <w:b/>
          <w:sz w:val="24"/>
          <w:szCs w:val="24"/>
        </w:rPr>
        <w:lastRenderedPageBreak/>
        <w:br w:type="page"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FF130D" w:rsidRPr="00207B41" w14:paraId="0DC5AB56" w14:textId="77777777" w:rsidTr="00C16671">
        <w:tc>
          <w:tcPr>
            <w:tcW w:w="9493" w:type="dxa"/>
            <w:shd w:val="clear" w:color="auto" w:fill="9CC2E5" w:themeFill="accent1" w:themeFillTint="99"/>
          </w:tcPr>
          <w:p w14:paraId="5B23F6F3" w14:textId="77777777" w:rsidR="00F36A94" w:rsidRPr="00207B41" w:rsidRDefault="00F36A94" w:rsidP="00642AF7">
            <w:pPr>
              <w:pStyle w:val="IBul1"/>
              <w:tabs>
                <w:tab w:val="clear" w:pos="720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lastRenderedPageBreak/>
              <w:t xml:space="preserve">Vanjskotrgovinska razmjena </w:t>
            </w:r>
          </w:p>
        </w:tc>
      </w:tr>
    </w:tbl>
    <w:p w14:paraId="734ABAA9" w14:textId="77777777" w:rsidR="006210A7" w:rsidRPr="00207B41" w:rsidRDefault="006210A7" w:rsidP="00642AF7">
      <w:pPr>
        <w:pStyle w:val="INormal"/>
        <w:spacing w:before="240" w:after="0"/>
        <w:jc w:val="right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>U milijardama USD</w:t>
      </w:r>
    </w:p>
    <w:tbl>
      <w:tblPr>
        <w:tblW w:w="9338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68"/>
        <w:gridCol w:w="1534"/>
        <w:gridCol w:w="1534"/>
        <w:gridCol w:w="1534"/>
        <w:gridCol w:w="1534"/>
        <w:gridCol w:w="1534"/>
      </w:tblGrid>
      <w:tr w:rsidR="007113E8" w:rsidRPr="00207B41" w14:paraId="0B2F726E" w14:textId="77777777" w:rsidTr="005D61A6">
        <w:trPr>
          <w:trHeight w:val="396"/>
          <w:tblCellSpacing w:w="20" w:type="dxa"/>
          <w:jc w:val="center"/>
        </w:trPr>
        <w:tc>
          <w:tcPr>
            <w:tcW w:w="1608" w:type="dxa"/>
            <w:shd w:val="clear" w:color="auto" w:fill="9CC2E5" w:themeFill="accent1" w:themeFillTint="99"/>
          </w:tcPr>
          <w:p w14:paraId="14E7DCFC" w14:textId="77777777" w:rsidR="007113E8" w:rsidRPr="00207B41" w:rsidRDefault="007113E8" w:rsidP="00642AF7">
            <w:pPr>
              <w:tabs>
                <w:tab w:val="left" w:pos="2268"/>
              </w:tabs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94" w:type="dxa"/>
            <w:shd w:val="clear" w:color="auto" w:fill="9CC2E5" w:themeFill="accent1" w:themeFillTint="99"/>
            <w:vAlign w:val="center"/>
          </w:tcPr>
          <w:p w14:paraId="1E155F21" w14:textId="60694DE1" w:rsidR="007113E8" w:rsidRPr="00207B41" w:rsidRDefault="002809A5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2020.</w:t>
            </w:r>
          </w:p>
        </w:tc>
        <w:tc>
          <w:tcPr>
            <w:tcW w:w="1494" w:type="dxa"/>
            <w:shd w:val="clear" w:color="auto" w:fill="9CC2E5" w:themeFill="accent1" w:themeFillTint="99"/>
            <w:vAlign w:val="center"/>
          </w:tcPr>
          <w:p w14:paraId="34EF3594" w14:textId="0B7AB87B" w:rsidR="007113E8" w:rsidRPr="00207B41" w:rsidRDefault="002809A5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2021.</w:t>
            </w:r>
          </w:p>
        </w:tc>
        <w:tc>
          <w:tcPr>
            <w:tcW w:w="1494" w:type="dxa"/>
            <w:shd w:val="clear" w:color="auto" w:fill="9CC2E5" w:themeFill="accent1" w:themeFillTint="99"/>
          </w:tcPr>
          <w:p w14:paraId="57E73845" w14:textId="37FDCDD7" w:rsidR="007113E8" w:rsidRPr="00207B41" w:rsidRDefault="002809A5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2022.</w:t>
            </w:r>
          </w:p>
        </w:tc>
        <w:tc>
          <w:tcPr>
            <w:tcW w:w="1494" w:type="dxa"/>
            <w:shd w:val="clear" w:color="auto" w:fill="9CC2E5" w:themeFill="accent1" w:themeFillTint="99"/>
          </w:tcPr>
          <w:p w14:paraId="5C66902C" w14:textId="12D1C347" w:rsidR="007113E8" w:rsidRPr="00207B41" w:rsidRDefault="002809A5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2023.</w:t>
            </w:r>
          </w:p>
        </w:tc>
        <w:tc>
          <w:tcPr>
            <w:tcW w:w="1474" w:type="dxa"/>
            <w:tcBorders>
              <w:right w:val="inset" w:sz="6" w:space="0" w:color="auto"/>
            </w:tcBorders>
            <w:shd w:val="clear" w:color="auto" w:fill="9CC2E5" w:themeFill="accent1" w:themeFillTint="99"/>
            <w:vAlign w:val="center"/>
          </w:tcPr>
          <w:p w14:paraId="65B5D168" w14:textId="660ED08B" w:rsidR="007113E8" w:rsidRPr="00207B41" w:rsidRDefault="002809A5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2024.</w:t>
            </w:r>
          </w:p>
        </w:tc>
      </w:tr>
      <w:tr w:rsidR="007113E8" w:rsidRPr="00207B41" w14:paraId="7BB96812" w14:textId="77777777" w:rsidTr="005D61A6">
        <w:trPr>
          <w:trHeight w:val="396"/>
          <w:tblCellSpacing w:w="20" w:type="dxa"/>
          <w:jc w:val="center"/>
        </w:trPr>
        <w:tc>
          <w:tcPr>
            <w:tcW w:w="1608" w:type="dxa"/>
            <w:shd w:val="clear" w:color="auto" w:fill="9CC2E5" w:themeFill="accent1" w:themeFillTint="99"/>
          </w:tcPr>
          <w:p w14:paraId="36458BCD" w14:textId="77777777" w:rsidR="007113E8" w:rsidRPr="00207B41" w:rsidRDefault="007113E8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IZVOZ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251106E6" w14:textId="0ED8A24A" w:rsidR="007113E8" w:rsidRPr="00207B41" w:rsidRDefault="009306D1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242</w:t>
            </w:r>
            <w:r w:rsidR="00A3702D" w:rsidRPr="00207B41">
              <w:rPr>
                <w:rFonts w:cs="Arial"/>
                <w:sz w:val="24"/>
                <w:szCs w:val="24"/>
                <w:lang w:val="hr-HR"/>
              </w:rPr>
              <w:t>,8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19426DB7" w14:textId="6F133E9C" w:rsidR="007113E8" w:rsidRPr="00207B41" w:rsidRDefault="009306D1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319</w:t>
            </w:r>
            <w:r w:rsidR="00A3702D" w:rsidRPr="00207B41">
              <w:rPr>
                <w:rFonts w:cs="Arial"/>
                <w:sz w:val="24"/>
                <w:szCs w:val="24"/>
                <w:lang w:val="hr-HR"/>
              </w:rPr>
              <w:t>,5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2477B5E3" w14:textId="09D4B925" w:rsidR="007113E8" w:rsidRPr="00207B41" w:rsidRDefault="009306D1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383</w:t>
            </w:r>
            <w:r w:rsidR="00A3702D" w:rsidRPr="00207B41">
              <w:rPr>
                <w:rFonts w:cs="Arial"/>
                <w:sz w:val="24"/>
                <w:szCs w:val="24"/>
                <w:lang w:val="hr-HR"/>
              </w:rPr>
              <w:t>,1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1F8985FB" w14:textId="70A4BB4B" w:rsidR="007113E8" w:rsidRPr="00207B41" w:rsidRDefault="009306D1" w:rsidP="00642AF7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393</w:t>
            </w:r>
            <w:r w:rsidR="00A3702D" w:rsidRPr="00207B41">
              <w:rPr>
                <w:sz w:val="24"/>
                <w:szCs w:val="24"/>
              </w:rPr>
              <w:t>,7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79E5B0B7" w14:textId="1C8BD5B4" w:rsidR="007113E8" w:rsidRPr="00207B41" w:rsidRDefault="009306D1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392</w:t>
            </w:r>
            <w:r w:rsidR="00A3702D" w:rsidRPr="00207B41">
              <w:rPr>
                <w:rFonts w:cs="Arial"/>
                <w:sz w:val="24"/>
                <w:szCs w:val="24"/>
                <w:lang w:val="hr-HR"/>
              </w:rPr>
              <w:t>,6</w:t>
            </w:r>
          </w:p>
        </w:tc>
      </w:tr>
      <w:tr w:rsidR="007113E8" w:rsidRPr="00207B41" w14:paraId="67087835" w14:textId="77777777" w:rsidTr="005D61A6">
        <w:trPr>
          <w:trHeight w:val="396"/>
          <w:tblCellSpacing w:w="20" w:type="dxa"/>
          <w:jc w:val="center"/>
        </w:trPr>
        <w:tc>
          <w:tcPr>
            <w:tcW w:w="1608" w:type="dxa"/>
            <w:shd w:val="clear" w:color="auto" w:fill="9CC2E5" w:themeFill="accent1" w:themeFillTint="99"/>
          </w:tcPr>
          <w:p w14:paraId="12DA63AB" w14:textId="77777777" w:rsidR="007113E8" w:rsidRPr="00207B41" w:rsidRDefault="007113E8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UVOZ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5F2E449A" w14:textId="5E85B2F1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233,9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0D0AAB9A" w14:textId="1C7783AB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309,8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6D65FCBF" w14:textId="7ADC4C74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374,4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7C9E285D" w14:textId="0D2FD992" w:rsidR="007113E8" w:rsidRPr="00207B41" w:rsidRDefault="00A3702D" w:rsidP="00642AF7">
            <w:pPr>
              <w:tabs>
                <w:tab w:val="left" w:pos="2268"/>
              </w:tabs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343,9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5A7F7716" w14:textId="214D0D5F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381,7</w:t>
            </w:r>
          </w:p>
        </w:tc>
      </w:tr>
      <w:tr w:rsidR="007113E8" w:rsidRPr="00207B41" w14:paraId="661C99E2" w14:textId="77777777" w:rsidTr="005D61A6">
        <w:trPr>
          <w:trHeight w:val="396"/>
          <w:tblCellSpacing w:w="20" w:type="dxa"/>
          <w:jc w:val="center"/>
        </w:trPr>
        <w:tc>
          <w:tcPr>
            <w:tcW w:w="1608" w:type="dxa"/>
            <w:shd w:val="clear" w:color="auto" w:fill="9CC2E5" w:themeFill="accent1" w:themeFillTint="99"/>
          </w:tcPr>
          <w:p w14:paraId="4AF874B3" w14:textId="77777777" w:rsidR="007113E8" w:rsidRPr="00207B41" w:rsidRDefault="007113E8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38A1E300" w14:textId="4BE217DC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476,7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358E4706" w14:textId="45EE265F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629.3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2E478AB8" w14:textId="3C27B11E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757,5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09A19102" w14:textId="42E1A3DE" w:rsidR="007113E8" w:rsidRPr="00207B41" w:rsidRDefault="00A3702D" w:rsidP="00642AF7">
            <w:pPr>
              <w:tabs>
                <w:tab w:val="left" w:pos="2268"/>
              </w:tabs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737,6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644BD3D" w14:textId="29CD246E" w:rsidR="007113E8" w:rsidRPr="00207B41" w:rsidRDefault="00A3702D" w:rsidP="00642AF7">
            <w:pPr>
              <w:pStyle w:val="INormal"/>
              <w:spacing w:after="0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774.3</w:t>
            </w:r>
          </w:p>
        </w:tc>
      </w:tr>
      <w:tr w:rsidR="007113E8" w:rsidRPr="00207B41" w14:paraId="4F5D599A" w14:textId="77777777" w:rsidTr="005D61A6">
        <w:trPr>
          <w:trHeight w:val="396"/>
          <w:tblCellSpacing w:w="20" w:type="dxa"/>
          <w:jc w:val="center"/>
        </w:trPr>
        <w:tc>
          <w:tcPr>
            <w:tcW w:w="1608" w:type="dxa"/>
            <w:shd w:val="clear" w:color="auto" w:fill="9CC2E5" w:themeFill="accent1" w:themeFillTint="99"/>
          </w:tcPr>
          <w:p w14:paraId="7248734D" w14:textId="77777777" w:rsidR="007113E8" w:rsidRPr="00207B41" w:rsidRDefault="007113E8" w:rsidP="00642AF7">
            <w:pPr>
              <w:tabs>
                <w:tab w:val="left" w:pos="2268"/>
              </w:tabs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207B41">
              <w:rPr>
                <w:rFonts w:cs="Times New Roman"/>
                <w:b/>
                <w:sz w:val="24"/>
                <w:szCs w:val="24"/>
              </w:rPr>
              <w:t>RAZLIKA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607C4902" w14:textId="02131855" w:rsidR="007113E8" w:rsidRPr="00207B41" w:rsidRDefault="00A3702D" w:rsidP="00642AF7">
            <w:pPr>
              <w:spacing w:after="0"/>
              <w:ind w:hanging="96"/>
              <w:jc w:val="center"/>
              <w:rPr>
                <w:sz w:val="24"/>
              </w:rPr>
            </w:pPr>
            <w:r w:rsidRPr="00207B41">
              <w:rPr>
                <w:sz w:val="24"/>
              </w:rPr>
              <w:t>+8,9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1B09AB45" w14:textId="11E39682" w:rsidR="007113E8" w:rsidRPr="00207B41" w:rsidRDefault="00A3702D" w:rsidP="00642AF7">
            <w:pPr>
              <w:spacing w:after="0"/>
              <w:jc w:val="center"/>
              <w:rPr>
                <w:sz w:val="24"/>
              </w:rPr>
            </w:pPr>
            <w:r w:rsidRPr="00207B41">
              <w:rPr>
                <w:sz w:val="24"/>
              </w:rPr>
              <w:t>+9,8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5CFC2BDD" w14:textId="1EC47F2C" w:rsidR="007113E8" w:rsidRPr="00207B41" w:rsidRDefault="00A3702D" w:rsidP="00642AF7">
            <w:pPr>
              <w:spacing w:after="0"/>
              <w:jc w:val="center"/>
              <w:rPr>
                <w:sz w:val="24"/>
              </w:rPr>
            </w:pPr>
            <w:r w:rsidRPr="00207B41">
              <w:rPr>
                <w:sz w:val="24"/>
              </w:rPr>
              <w:t>+8,7</w:t>
            </w:r>
          </w:p>
        </w:tc>
        <w:tc>
          <w:tcPr>
            <w:tcW w:w="1494" w:type="dxa"/>
            <w:shd w:val="clear" w:color="auto" w:fill="FFFFFF"/>
            <w:vAlign w:val="center"/>
          </w:tcPr>
          <w:p w14:paraId="512BA728" w14:textId="40430984" w:rsidR="007113E8" w:rsidRPr="00207B41" w:rsidRDefault="00A3702D" w:rsidP="00642AF7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+49,8</w:t>
            </w:r>
          </w:p>
        </w:tc>
        <w:tc>
          <w:tcPr>
            <w:tcW w:w="1474" w:type="dxa"/>
            <w:shd w:val="clear" w:color="auto" w:fill="FFFFFF"/>
            <w:vAlign w:val="center"/>
          </w:tcPr>
          <w:p w14:paraId="12B89CA0" w14:textId="34692E25" w:rsidR="007113E8" w:rsidRPr="00207B41" w:rsidRDefault="00E65532" w:rsidP="00642AF7">
            <w:pPr>
              <w:spacing w:after="0"/>
              <w:ind w:hanging="48"/>
              <w:jc w:val="center"/>
              <w:rPr>
                <w:sz w:val="24"/>
              </w:rPr>
            </w:pPr>
            <w:r w:rsidRPr="00207B41">
              <w:rPr>
                <w:sz w:val="24"/>
              </w:rPr>
              <w:t>+10,9</w:t>
            </w:r>
          </w:p>
        </w:tc>
      </w:tr>
    </w:tbl>
    <w:p w14:paraId="4B433A9E" w14:textId="77777777" w:rsidR="00F36A94" w:rsidRPr="00207B41" w:rsidRDefault="00F36A94" w:rsidP="00642AF7">
      <w:pPr>
        <w:pStyle w:val="INormal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 xml:space="preserve">Izvor: </w:t>
      </w:r>
      <w:r w:rsidR="003D1AA1" w:rsidRPr="00207B41">
        <w:rPr>
          <w:rFonts w:cs="Arial"/>
          <w:i/>
          <w:lang w:val="hr-HR"/>
        </w:rPr>
        <w:t>IMF</w:t>
      </w:r>
    </w:p>
    <w:p w14:paraId="6D2C98C9" w14:textId="4A707C24" w:rsidR="00F36A94" w:rsidRPr="00207B41" w:rsidRDefault="00F36A94" w:rsidP="00642AF7">
      <w:pPr>
        <w:tabs>
          <w:tab w:val="left" w:pos="2268"/>
        </w:tabs>
        <w:spacing w:after="0"/>
        <w:rPr>
          <w:bCs/>
        </w:rPr>
      </w:pPr>
      <w:r w:rsidRPr="00207B41">
        <w:rPr>
          <w:b/>
          <w:sz w:val="24"/>
          <w:szCs w:val="24"/>
        </w:rPr>
        <w:t>Najznačajnije zemlje izvoza</w:t>
      </w:r>
      <w:r w:rsidR="002809A5" w:rsidRPr="00207B41">
        <w:rPr>
          <w:b/>
          <w:sz w:val="24"/>
          <w:szCs w:val="24"/>
        </w:rPr>
        <w:t xml:space="preserve"> u 2024.</w:t>
      </w:r>
      <w:r w:rsidR="009C0C15" w:rsidRPr="00207B41">
        <w:rPr>
          <w:b/>
          <w:sz w:val="24"/>
          <w:szCs w:val="24"/>
        </w:rPr>
        <w:t xml:space="preserve">: </w:t>
      </w:r>
      <w:r w:rsidR="009C0C15" w:rsidRPr="00207B41">
        <w:rPr>
          <w:bCs/>
          <w:sz w:val="24"/>
          <w:szCs w:val="24"/>
        </w:rPr>
        <w:t>Kina (28%), SAD (12%), Argentina (4,1%), Nizozemska (3,5%), Španjolska (3%), Singapur (2,4%), Meksiko (2,3%), Čile (2%), Kanada (1,9%), Njemačka (1,7%).</w:t>
      </w:r>
    </w:p>
    <w:p w14:paraId="5A7A7BF1" w14:textId="77777777" w:rsidR="009C0C15" w:rsidRPr="00207B41" w:rsidRDefault="009C0C15" w:rsidP="00642AF7">
      <w:pPr>
        <w:tabs>
          <w:tab w:val="left" w:pos="2268"/>
        </w:tabs>
        <w:spacing w:after="0"/>
        <w:rPr>
          <w:sz w:val="24"/>
          <w:szCs w:val="24"/>
          <w:highlight w:val="yellow"/>
        </w:rPr>
      </w:pPr>
    </w:p>
    <w:p w14:paraId="680F4688" w14:textId="4C889F18" w:rsidR="009C0C15" w:rsidRPr="00207B41" w:rsidRDefault="00F36A94" w:rsidP="00642AF7">
      <w:pPr>
        <w:tabs>
          <w:tab w:val="left" w:pos="2268"/>
        </w:tabs>
        <w:spacing w:after="0"/>
        <w:rPr>
          <w:sz w:val="24"/>
          <w:szCs w:val="24"/>
        </w:rPr>
      </w:pPr>
      <w:r w:rsidRPr="00207B41">
        <w:rPr>
          <w:b/>
          <w:sz w:val="24"/>
          <w:szCs w:val="24"/>
        </w:rPr>
        <w:t>Najznačajniji izvozni proizvodi</w:t>
      </w:r>
      <w:r w:rsidR="002809A5" w:rsidRPr="00207B41">
        <w:rPr>
          <w:b/>
          <w:sz w:val="24"/>
          <w:szCs w:val="24"/>
        </w:rPr>
        <w:t xml:space="preserve"> u 2024.</w:t>
      </w:r>
      <w:r w:rsidRPr="00207B41">
        <w:rPr>
          <w:b/>
          <w:sz w:val="24"/>
          <w:szCs w:val="24"/>
        </w:rPr>
        <w:t xml:space="preserve">: </w:t>
      </w:r>
      <w:r w:rsidR="009C0C15" w:rsidRPr="00207B41">
        <w:rPr>
          <w:sz w:val="24"/>
          <w:szCs w:val="24"/>
        </w:rPr>
        <w:t>mineralna goriva, uključujući naftu (17 %), Uljarice i sjemenke (13 %), rude, žlijezde i pepeo (10 %), mesni proizvodi</w:t>
      </w:r>
      <w:r w:rsidR="009C0C15" w:rsidRPr="00207B41">
        <w:rPr>
          <w:sz w:val="24"/>
          <w:szCs w:val="24"/>
        </w:rPr>
        <w:tab/>
        <w:t xml:space="preserve"> (7,3%),</w:t>
      </w:r>
      <w:r w:rsidR="00642AF7">
        <w:rPr>
          <w:sz w:val="24"/>
          <w:szCs w:val="24"/>
        </w:rPr>
        <w:t xml:space="preserve"> š</w:t>
      </w:r>
      <w:r w:rsidR="009C0C15" w:rsidRPr="00207B41">
        <w:rPr>
          <w:sz w:val="24"/>
          <w:szCs w:val="24"/>
        </w:rPr>
        <w:t>ećer i proizvodi od šećera (5,6 %), strojevi i mehanička oprema (3,9 %),  željezo i čelik (3,5 %), vozila (osim vlakova i tramvaja)</w:t>
      </w:r>
      <w:r w:rsidR="009C0C15" w:rsidRPr="00207B41">
        <w:rPr>
          <w:sz w:val="24"/>
          <w:szCs w:val="24"/>
        </w:rPr>
        <w:tab/>
        <w:t>(3,5 %), kava, čaj i začini (3,5 %) ostaci hrane i stočna hrana (3,2 %).</w:t>
      </w:r>
    </w:p>
    <w:p w14:paraId="1DE955C5" w14:textId="77777777" w:rsidR="009C0C15" w:rsidRPr="00207B41" w:rsidRDefault="009C0C15" w:rsidP="00642AF7">
      <w:pPr>
        <w:tabs>
          <w:tab w:val="left" w:pos="2268"/>
        </w:tabs>
        <w:spacing w:after="0"/>
        <w:rPr>
          <w:sz w:val="24"/>
          <w:szCs w:val="24"/>
          <w:highlight w:val="yellow"/>
        </w:rPr>
      </w:pPr>
    </w:p>
    <w:p w14:paraId="4D6EC83C" w14:textId="373D0B49" w:rsidR="00AB589E" w:rsidRPr="00207B41" w:rsidRDefault="007058D8" w:rsidP="00642AF7">
      <w:pPr>
        <w:tabs>
          <w:tab w:val="left" w:pos="2268"/>
        </w:tabs>
        <w:spacing w:after="0"/>
        <w:rPr>
          <w:sz w:val="24"/>
          <w:szCs w:val="24"/>
        </w:rPr>
      </w:pPr>
      <w:r w:rsidRPr="00207B41">
        <w:rPr>
          <w:b/>
          <w:sz w:val="24"/>
          <w:szCs w:val="24"/>
        </w:rPr>
        <w:t>Najznačajnije zemlje uvoza</w:t>
      </w:r>
      <w:r w:rsidR="002809A5" w:rsidRPr="00207B41">
        <w:rPr>
          <w:b/>
          <w:sz w:val="24"/>
          <w:szCs w:val="24"/>
        </w:rPr>
        <w:t xml:space="preserve"> u 2024.</w:t>
      </w:r>
      <w:r w:rsidRPr="00207B41">
        <w:rPr>
          <w:b/>
          <w:sz w:val="24"/>
          <w:szCs w:val="24"/>
        </w:rPr>
        <w:t>:</w:t>
      </w:r>
      <w:r w:rsidR="00555B39" w:rsidRPr="00207B41">
        <w:rPr>
          <w:sz w:val="24"/>
          <w:szCs w:val="24"/>
        </w:rPr>
        <w:t xml:space="preserve"> </w:t>
      </w:r>
      <w:r w:rsidR="000474F5" w:rsidRPr="00207B41">
        <w:rPr>
          <w:sz w:val="24"/>
          <w:szCs w:val="24"/>
        </w:rPr>
        <w:t xml:space="preserve">Kina </w:t>
      </w:r>
      <w:r w:rsidR="00AB589E" w:rsidRPr="00207B41">
        <w:rPr>
          <w:sz w:val="24"/>
          <w:szCs w:val="24"/>
        </w:rPr>
        <w:t>22,1</w:t>
      </w:r>
      <w:r w:rsidR="000474F5" w:rsidRPr="00207B41">
        <w:rPr>
          <w:sz w:val="24"/>
          <w:szCs w:val="24"/>
        </w:rPr>
        <w:t>%, SAD 16</w:t>
      </w:r>
      <w:r w:rsidRPr="00207B41">
        <w:rPr>
          <w:sz w:val="24"/>
          <w:szCs w:val="24"/>
        </w:rPr>
        <w:t xml:space="preserve">%, </w:t>
      </w:r>
      <w:r w:rsidR="00AB589E" w:rsidRPr="00207B41">
        <w:rPr>
          <w:sz w:val="24"/>
          <w:szCs w:val="24"/>
        </w:rPr>
        <w:t>Njemačka</w:t>
      </w:r>
      <w:r w:rsidR="00AB589E" w:rsidRPr="00207B41">
        <w:rPr>
          <w:sz w:val="24"/>
          <w:szCs w:val="24"/>
        </w:rPr>
        <w:tab/>
        <w:t>(5,5%), Argentina, (%%), Rusija (4,2%), Indija (2,9%), Italija (2,4%), Meksiko (2,3%), Francuska (2,3%), Japan (2,1%).</w:t>
      </w:r>
    </w:p>
    <w:p w14:paraId="5945F709" w14:textId="77777777" w:rsidR="00AB589E" w:rsidRPr="00207B41" w:rsidRDefault="00AB589E" w:rsidP="00642AF7">
      <w:pPr>
        <w:tabs>
          <w:tab w:val="left" w:pos="2268"/>
        </w:tabs>
        <w:spacing w:after="0"/>
        <w:rPr>
          <w:sz w:val="24"/>
          <w:szCs w:val="24"/>
          <w:highlight w:val="yellow"/>
        </w:rPr>
      </w:pPr>
    </w:p>
    <w:p w14:paraId="03925E82" w14:textId="7D60CF3F" w:rsidR="00AB589E" w:rsidRPr="00207B41" w:rsidRDefault="00F36A94" w:rsidP="00642AF7">
      <w:pPr>
        <w:spacing w:after="0"/>
        <w:textAlignment w:val="center"/>
        <w:rPr>
          <w:bCs/>
          <w:sz w:val="24"/>
          <w:szCs w:val="24"/>
        </w:rPr>
      </w:pPr>
      <w:r w:rsidRPr="00207B41">
        <w:rPr>
          <w:b/>
          <w:sz w:val="24"/>
          <w:szCs w:val="24"/>
        </w:rPr>
        <w:t>Najznačajniji uvozni proizvodi</w:t>
      </w:r>
      <w:r w:rsidR="002809A5" w:rsidRPr="00207B41">
        <w:rPr>
          <w:b/>
          <w:sz w:val="24"/>
          <w:szCs w:val="24"/>
        </w:rPr>
        <w:t xml:space="preserve"> u 2024.</w:t>
      </w:r>
      <w:r w:rsidRPr="00207B41">
        <w:rPr>
          <w:b/>
          <w:sz w:val="24"/>
          <w:szCs w:val="24"/>
        </w:rPr>
        <w:t xml:space="preserve">: </w:t>
      </w:r>
      <w:r w:rsidR="00AB589E" w:rsidRPr="00207B41">
        <w:rPr>
          <w:bCs/>
          <w:sz w:val="24"/>
          <w:szCs w:val="24"/>
        </w:rPr>
        <w:t>strojevi i mehanička oprema (15,</w:t>
      </w:r>
      <w:r w:rsidR="00E7318C" w:rsidRPr="00207B41">
        <w:rPr>
          <w:bCs/>
          <w:sz w:val="24"/>
          <w:szCs w:val="24"/>
        </w:rPr>
        <w:t>6</w:t>
      </w:r>
      <w:r w:rsidR="00AB589E" w:rsidRPr="00207B41">
        <w:rPr>
          <w:bCs/>
          <w:sz w:val="24"/>
          <w:szCs w:val="24"/>
        </w:rPr>
        <w:t>%), mineralna goriva i ulja</w:t>
      </w:r>
      <w:r w:rsidR="00E7318C" w:rsidRPr="00207B41">
        <w:rPr>
          <w:bCs/>
          <w:sz w:val="24"/>
          <w:szCs w:val="24"/>
        </w:rPr>
        <w:t>, uključujući naftu</w:t>
      </w:r>
      <w:r w:rsidR="00AB589E" w:rsidRPr="00207B41">
        <w:rPr>
          <w:bCs/>
          <w:sz w:val="24"/>
          <w:szCs w:val="24"/>
        </w:rPr>
        <w:t xml:space="preserve"> (13,1%), električna i elektronična oprema (11,8%), vozila (osim željezničkih) (8</w:t>
      </w:r>
      <w:r w:rsidR="00E7318C" w:rsidRPr="00207B41">
        <w:rPr>
          <w:bCs/>
          <w:sz w:val="24"/>
          <w:szCs w:val="24"/>
        </w:rPr>
        <w:t>,8</w:t>
      </w:r>
      <w:r w:rsidR="00AB589E" w:rsidRPr="00207B41">
        <w:rPr>
          <w:bCs/>
          <w:sz w:val="24"/>
          <w:szCs w:val="24"/>
        </w:rPr>
        <w:t xml:space="preserve">%), </w:t>
      </w:r>
      <w:r w:rsidR="00E7318C" w:rsidRPr="00207B41">
        <w:rPr>
          <w:bCs/>
          <w:sz w:val="24"/>
          <w:szCs w:val="24"/>
        </w:rPr>
        <w:t xml:space="preserve">organske kemikalije (5,3%), gnojiva (5,2%), Farmaceutski proizvodi, lijekovi (4,7%), </w:t>
      </w:r>
      <w:r w:rsidR="00AB589E" w:rsidRPr="00207B41">
        <w:rPr>
          <w:bCs/>
          <w:sz w:val="24"/>
          <w:szCs w:val="24"/>
        </w:rPr>
        <w:t xml:space="preserve"> </w:t>
      </w:r>
      <w:r w:rsidR="00E7318C" w:rsidRPr="00207B41">
        <w:rPr>
          <w:bCs/>
          <w:sz w:val="24"/>
          <w:szCs w:val="24"/>
        </w:rPr>
        <w:t>plastika i plastični proizvodi, (4,2%), optička, tehnička i medicinska oprema (3,2%), ostali kemijski proizvodi (2,8%).</w:t>
      </w:r>
    </w:p>
    <w:p w14:paraId="09BFE870" w14:textId="77777777" w:rsidR="002E3B95" w:rsidRPr="00207B41" w:rsidRDefault="002E3B95" w:rsidP="00642AF7">
      <w:pPr>
        <w:textAlignment w:val="center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FF130D" w:rsidRPr="00207B41" w14:paraId="4470E20F" w14:textId="77777777" w:rsidTr="00C1667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244CCC8" w14:textId="77777777" w:rsidR="00EE7F7A" w:rsidRPr="00207B41" w:rsidRDefault="00EE7F7A" w:rsidP="00642AF7">
            <w:pPr>
              <w:pStyle w:val="IBul1"/>
              <w:tabs>
                <w:tab w:val="clear" w:pos="720"/>
                <w:tab w:val="left" w:pos="7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Bilateralni gospodarski odnosi s Republikom Hrvatskom</w:t>
            </w:r>
          </w:p>
        </w:tc>
      </w:tr>
    </w:tbl>
    <w:p w14:paraId="399D2547" w14:textId="77777777" w:rsidR="00EE7F7A" w:rsidRPr="00207B41" w:rsidRDefault="00EE7F7A" w:rsidP="00642AF7">
      <w:pPr>
        <w:pStyle w:val="INormal"/>
        <w:spacing w:after="0"/>
        <w:rPr>
          <w:rFonts w:eastAsia="Arial"/>
          <w:b/>
          <w:sz w:val="24"/>
          <w:szCs w:val="24"/>
          <w:lang w:val="hr-HR"/>
        </w:rPr>
      </w:pPr>
      <w:r w:rsidRPr="00207B41">
        <w:rPr>
          <w:rFonts w:eastAsia="Arial"/>
          <w:b/>
          <w:sz w:val="24"/>
          <w:szCs w:val="24"/>
          <w:lang w:val="hr-HR"/>
        </w:rPr>
        <w:tab/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FF130D" w:rsidRPr="00207B41" w14:paraId="49E61A6C" w14:textId="77777777" w:rsidTr="00C16671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CABE7BD" w14:textId="77777777" w:rsidR="00EE7F7A" w:rsidRPr="00207B41" w:rsidRDefault="00EE7F7A" w:rsidP="00642AF7">
            <w:pPr>
              <w:pStyle w:val="IBul1"/>
              <w:tabs>
                <w:tab w:val="clear" w:pos="720"/>
                <w:tab w:val="left" w:pos="708"/>
              </w:tabs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Robna razmjena</w:t>
            </w:r>
          </w:p>
        </w:tc>
      </w:tr>
    </w:tbl>
    <w:p w14:paraId="1B907621" w14:textId="77777777" w:rsidR="00112D7A" w:rsidRPr="00207B41" w:rsidRDefault="00112D7A" w:rsidP="00642AF7">
      <w:pPr>
        <w:pStyle w:val="INormal"/>
        <w:spacing w:after="0"/>
        <w:rPr>
          <w:rFonts w:cs="Arial"/>
          <w:sz w:val="24"/>
          <w:szCs w:val="24"/>
          <w:lang w:val="hr-HR"/>
        </w:rPr>
      </w:pPr>
    </w:p>
    <w:p w14:paraId="1010A21D" w14:textId="77777777" w:rsidR="00112D7A" w:rsidRPr="00207B41" w:rsidRDefault="008C3671" w:rsidP="00642AF7">
      <w:pPr>
        <w:pStyle w:val="INormal"/>
        <w:spacing w:after="0"/>
        <w:ind w:right="-286"/>
        <w:jc w:val="center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 xml:space="preserve">                                                                                               </w:t>
      </w:r>
      <w:r w:rsidR="00172F08" w:rsidRPr="00207B41">
        <w:rPr>
          <w:rFonts w:cs="Arial"/>
          <w:i/>
          <w:lang w:val="hr-HR"/>
        </w:rPr>
        <w:t xml:space="preserve">                          </w:t>
      </w:r>
      <w:r w:rsidRPr="00207B41">
        <w:rPr>
          <w:rFonts w:cs="Arial"/>
          <w:i/>
          <w:lang w:val="hr-HR"/>
        </w:rPr>
        <w:t xml:space="preserve">         </w:t>
      </w:r>
      <w:r w:rsidR="008A7719" w:rsidRPr="00207B41">
        <w:rPr>
          <w:rFonts w:cs="Arial"/>
          <w:i/>
          <w:lang w:val="hr-HR"/>
        </w:rPr>
        <w:t xml:space="preserve">U </w:t>
      </w:r>
      <w:r w:rsidR="00481EEC" w:rsidRPr="00207B41">
        <w:rPr>
          <w:rFonts w:cs="Arial"/>
          <w:i/>
          <w:lang w:val="hr-HR"/>
        </w:rPr>
        <w:t xml:space="preserve">milijunima </w:t>
      </w:r>
      <w:r w:rsidR="00AD4149" w:rsidRPr="00207B41">
        <w:rPr>
          <w:rFonts w:cs="Arial"/>
          <w:i/>
          <w:lang w:val="hr-HR"/>
        </w:rPr>
        <w:t>USD</w:t>
      </w:r>
    </w:p>
    <w:tbl>
      <w:tblPr>
        <w:tblW w:w="892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680"/>
        <w:gridCol w:w="1448"/>
        <w:gridCol w:w="1449"/>
        <w:gridCol w:w="1448"/>
        <w:gridCol w:w="1449"/>
        <w:gridCol w:w="1449"/>
      </w:tblGrid>
      <w:tr w:rsidR="00F650C5" w:rsidRPr="00207B41" w14:paraId="7A67F4B7" w14:textId="77777777" w:rsidTr="008A7719">
        <w:trPr>
          <w:trHeight w:val="700"/>
          <w:tblCellSpacing w:w="20" w:type="dxa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14:paraId="6927E901" w14:textId="77777777" w:rsidR="00F650C5" w:rsidRPr="00207B41" w:rsidRDefault="00F650C5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408" w:type="dxa"/>
            <w:shd w:val="clear" w:color="auto" w:fill="9CC2E5" w:themeFill="accent1" w:themeFillTint="99"/>
            <w:vAlign w:val="center"/>
          </w:tcPr>
          <w:p w14:paraId="3B22CD97" w14:textId="348BD44B" w:rsidR="00F650C5" w:rsidRPr="00207B41" w:rsidRDefault="002809A5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2021.</w:t>
            </w:r>
          </w:p>
        </w:tc>
        <w:tc>
          <w:tcPr>
            <w:tcW w:w="1409" w:type="dxa"/>
            <w:shd w:val="clear" w:color="auto" w:fill="9CC2E5" w:themeFill="accent1" w:themeFillTint="99"/>
            <w:vAlign w:val="center"/>
          </w:tcPr>
          <w:p w14:paraId="4135E7DB" w14:textId="7990B7BA" w:rsidR="00F650C5" w:rsidRPr="00207B41" w:rsidRDefault="002809A5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2022.</w:t>
            </w:r>
          </w:p>
        </w:tc>
        <w:tc>
          <w:tcPr>
            <w:tcW w:w="1408" w:type="dxa"/>
            <w:shd w:val="clear" w:color="auto" w:fill="9CC2E5" w:themeFill="accent1" w:themeFillTint="99"/>
            <w:vAlign w:val="center"/>
          </w:tcPr>
          <w:p w14:paraId="4C0C99C5" w14:textId="6F87A171" w:rsidR="00F650C5" w:rsidRPr="00207B41" w:rsidRDefault="002809A5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2023.</w:t>
            </w:r>
          </w:p>
        </w:tc>
        <w:tc>
          <w:tcPr>
            <w:tcW w:w="1409" w:type="dxa"/>
            <w:shd w:val="clear" w:color="auto" w:fill="9CC2E5" w:themeFill="accent1" w:themeFillTint="99"/>
            <w:vAlign w:val="center"/>
          </w:tcPr>
          <w:p w14:paraId="1A73F2E9" w14:textId="6FE54B1D" w:rsidR="00F650C5" w:rsidRPr="00207B41" w:rsidRDefault="002809A5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2024.</w:t>
            </w:r>
          </w:p>
        </w:tc>
        <w:tc>
          <w:tcPr>
            <w:tcW w:w="1389" w:type="dxa"/>
            <w:shd w:val="clear" w:color="auto" w:fill="9CC2E5" w:themeFill="accent1" w:themeFillTint="99"/>
            <w:vAlign w:val="center"/>
          </w:tcPr>
          <w:p w14:paraId="6D3A8E0A" w14:textId="201CCF95" w:rsidR="00F650C5" w:rsidRPr="00207B41" w:rsidRDefault="00EB7C18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2025.</w:t>
            </w:r>
            <w:r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Pr="00207B41">
              <w:rPr>
                <w:rFonts w:eastAsia="Arial"/>
                <w:b/>
                <w:sz w:val="24"/>
                <w:szCs w:val="24"/>
              </w:rPr>
              <w:t>I</w:t>
            </w:r>
            <w:r>
              <w:rPr>
                <w:rFonts w:eastAsia="Arial"/>
                <w:b/>
                <w:sz w:val="24"/>
                <w:szCs w:val="24"/>
              </w:rPr>
              <w:t>.</w:t>
            </w:r>
            <w:r w:rsidRPr="00207B41">
              <w:rPr>
                <w:rFonts w:eastAsia="Arial"/>
                <w:b/>
                <w:sz w:val="24"/>
                <w:szCs w:val="24"/>
              </w:rPr>
              <w:t>-VI</w:t>
            </w:r>
          </w:p>
        </w:tc>
      </w:tr>
      <w:tr w:rsidR="00B90E61" w:rsidRPr="00207B41" w14:paraId="573D6408" w14:textId="77777777" w:rsidTr="00BE4F8E">
        <w:trPr>
          <w:trHeight w:val="420"/>
          <w:tblCellSpacing w:w="20" w:type="dxa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14:paraId="0123FDA8" w14:textId="77777777" w:rsidR="00B90E61" w:rsidRPr="00207B41" w:rsidRDefault="00B90E61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IZVOZ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CC6BC2B" w14:textId="6997F246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18,4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4F2DA8EB" w14:textId="72062D2D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11,5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5B628DF" w14:textId="7D5C342A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10,8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84AC342" w14:textId="6B404DB3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 xml:space="preserve">7,8 </w:t>
            </w:r>
          </w:p>
        </w:tc>
        <w:tc>
          <w:tcPr>
            <w:tcW w:w="1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731A96C" w14:textId="0A45808F" w:rsidR="00B90E61" w:rsidRPr="00207B41" w:rsidRDefault="00207B41" w:rsidP="0064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6,1</w:t>
            </w:r>
          </w:p>
        </w:tc>
      </w:tr>
      <w:tr w:rsidR="00B90E61" w:rsidRPr="00207B41" w14:paraId="361C98B7" w14:textId="77777777" w:rsidTr="00BE4F8E">
        <w:trPr>
          <w:trHeight w:val="420"/>
          <w:tblCellSpacing w:w="20" w:type="dxa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14:paraId="693371E7" w14:textId="77777777" w:rsidR="00B90E61" w:rsidRPr="00207B41" w:rsidRDefault="00B90E61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UVOZ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5A59371" w14:textId="05364445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18,2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6C163ECC" w14:textId="72001A65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27,5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C7415EA" w14:textId="554A33BB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12,4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C798AF2" w14:textId="6B723FFC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22,3</w:t>
            </w:r>
          </w:p>
        </w:tc>
        <w:tc>
          <w:tcPr>
            <w:tcW w:w="1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5DD4570E" w14:textId="06A1E8D6" w:rsidR="00B90E61" w:rsidRPr="00207B41" w:rsidRDefault="00C4491A" w:rsidP="0064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7,3</w:t>
            </w:r>
          </w:p>
        </w:tc>
      </w:tr>
      <w:tr w:rsidR="00B90E61" w:rsidRPr="00207B41" w14:paraId="363B77F8" w14:textId="77777777" w:rsidTr="00BE4F8E">
        <w:trPr>
          <w:trHeight w:val="420"/>
          <w:tblCellSpacing w:w="20" w:type="dxa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14:paraId="021B7C27" w14:textId="77777777" w:rsidR="00B90E61" w:rsidRPr="00207B41" w:rsidRDefault="00B90E61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UKUPNO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3768535" w14:textId="0DE5C092" w:rsidR="00B90E61" w:rsidRPr="00207B41" w:rsidRDefault="00B90E61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36,6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24E1466F" w14:textId="6BB865C7" w:rsidR="00B90E61" w:rsidRPr="00207B41" w:rsidRDefault="00B90E61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7157C466" w14:textId="1AAF6C2C" w:rsidR="00B90E61" w:rsidRPr="00207B41" w:rsidRDefault="00B90E61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23,2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4F16601C" w14:textId="2770F23B" w:rsidR="00B90E61" w:rsidRPr="00207B41" w:rsidRDefault="00B90E61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 xml:space="preserve">30,1 </w:t>
            </w:r>
          </w:p>
        </w:tc>
        <w:tc>
          <w:tcPr>
            <w:tcW w:w="1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871F11C" w14:textId="4DEC719A" w:rsidR="00B90E61" w:rsidRPr="00207B41" w:rsidRDefault="00C4491A" w:rsidP="00642AF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13,4</w:t>
            </w:r>
          </w:p>
        </w:tc>
      </w:tr>
      <w:tr w:rsidR="00B90E61" w:rsidRPr="00207B41" w14:paraId="5F8AC490" w14:textId="77777777" w:rsidTr="00BE4F8E">
        <w:trPr>
          <w:trHeight w:val="405"/>
          <w:tblCellSpacing w:w="20" w:type="dxa"/>
        </w:trPr>
        <w:tc>
          <w:tcPr>
            <w:tcW w:w="1620" w:type="dxa"/>
            <w:shd w:val="clear" w:color="auto" w:fill="9CC2E5" w:themeFill="accent1" w:themeFillTint="99"/>
            <w:vAlign w:val="center"/>
          </w:tcPr>
          <w:p w14:paraId="227632CC" w14:textId="77777777" w:rsidR="00B90E61" w:rsidRPr="00207B41" w:rsidRDefault="00B90E61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RAZLIKA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2B877D73" w14:textId="421948AD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0,2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  <w:vAlign w:val="center"/>
          </w:tcPr>
          <w:p w14:paraId="07E4673E" w14:textId="65E1F481" w:rsidR="00B90E61" w:rsidRPr="00207B41" w:rsidRDefault="00B90E61" w:rsidP="00642AF7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-16</w:t>
            </w:r>
          </w:p>
        </w:tc>
        <w:tc>
          <w:tcPr>
            <w:tcW w:w="1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0596D6B" w14:textId="56D5824A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-1,6</w:t>
            </w:r>
          </w:p>
        </w:tc>
        <w:tc>
          <w:tcPr>
            <w:tcW w:w="140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61C78F0A" w14:textId="345592D0" w:rsidR="00B90E61" w:rsidRPr="00207B41" w:rsidRDefault="00B90E61" w:rsidP="00642AF7">
            <w:pPr>
              <w:pStyle w:val="INormal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sz w:val="24"/>
                <w:szCs w:val="24"/>
                <w:lang w:val="hr-HR"/>
              </w:rPr>
              <w:t>-14,5</w:t>
            </w:r>
          </w:p>
        </w:tc>
        <w:tc>
          <w:tcPr>
            <w:tcW w:w="138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FFFFFF"/>
          </w:tcPr>
          <w:p w14:paraId="3FC7656C" w14:textId="5B4C4230" w:rsidR="00B90E61" w:rsidRPr="00207B41" w:rsidRDefault="00C4491A" w:rsidP="00642A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-1,2</w:t>
            </w:r>
          </w:p>
        </w:tc>
      </w:tr>
    </w:tbl>
    <w:p w14:paraId="69A3AA77" w14:textId="77777777" w:rsidR="002E3B95" w:rsidRPr="00207B41" w:rsidRDefault="00112D7A" w:rsidP="00642AF7">
      <w:pPr>
        <w:pStyle w:val="INormal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 xml:space="preserve">Izvor: </w:t>
      </w:r>
      <w:r w:rsidR="00CD1E97" w:rsidRPr="00207B41">
        <w:rPr>
          <w:rFonts w:cs="Arial"/>
          <w:i/>
          <w:lang w:val="hr-HR"/>
        </w:rPr>
        <w:t>DZS</w:t>
      </w:r>
    </w:p>
    <w:p w14:paraId="46CF957C" w14:textId="3BE6C89C" w:rsidR="00112D7A" w:rsidRPr="00207B41" w:rsidRDefault="00112D7A" w:rsidP="00642AF7">
      <w:pPr>
        <w:pStyle w:val="INormal"/>
        <w:rPr>
          <w:lang w:val="hr-HR"/>
        </w:rPr>
      </w:pPr>
    </w:p>
    <w:tbl>
      <w:tblPr>
        <w:tblW w:w="9282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1"/>
        <w:gridCol w:w="1410"/>
        <w:gridCol w:w="3851"/>
        <w:gridCol w:w="1488"/>
        <w:gridCol w:w="1422"/>
      </w:tblGrid>
      <w:tr w:rsidR="00FF130D" w:rsidRPr="00207B41" w14:paraId="2549A4DF" w14:textId="77777777" w:rsidTr="00EB7C18">
        <w:trPr>
          <w:trHeight w:val="539"/>
          <w:tblCellSpacing w:w="20" w:type="dxa"/>
          <w:jc w:val="center"/>
        </w:trPr>
        <w:tc>
          <w:tcPr>
            <w:tcW w:w="9202" w:type="dxa"/>
            <w:gridSpan w:val="5"/>
            <w:shd w:val="clear" w:color="auto" w:fill="9CC2E5" w:themeFill="accent1" w:themeFillTint="99"/>
            <w:vAlign w:val="center"/>
          </w:tcPr>
          <w:p w14:paraId="24A6925C" w14:textId="280D1783" w:rsidR="00112D7A" w:rsidRPr="00207B41" w:rsidRDefault="008C3671" w:rsidP="00642AF7">
            <w:pPr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STRUKTURA NAJZNAČAJNIJIH IZVOZNIH PROIZVODA</w:t>
            </w:r>
            <w:r w:rsidR="00EB7C18">
              <w:rPr>
                <w:rFonts w:eastAsia="Arial"/>
                <w:b/>
                <w:sz w:val="24"/>
                <w:szCs w:val="24"/>
              </w:rPr>
              <w:t xml:space="preserve">, </w:t>
            </w:r>
            <w:r w:rsidR="002809A5" w:rsidRPr="00207B41">
              <w:rPr>
                <w:rFonts w:eastAsia="Arial"/>
                <w:b/>
                <w:sz w:val="24"/>
                <w:szCs w:val="24"/>
              </w:rPr>
              <w:t>2025</w:t>
            </w:r>
            <w:r w:rsidR="00870766" w:rsidRPr="00207B41">
              <w:rPr>
                <w:rFonts w:eastAsia="Arial"/>
                <w:b/>
                <w:sz w:val="24"/>
                <w:szCs w:val="24"/>
              </w:rPr>
              <w:t>.</w:t>
            </w:r>
            <w:r w:rsidR="00EB7C18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EB7C18" w:rsidRPr="00207B41">
              <w:rPr>
                <w:rFonts w:eastAsia="Arial"/>
                <w:b/>
                <w:sz w:val="24"/>
                <w:szCs w:val="24"/>
              </w:rPr>
              <w:t>I</w:t>
            </w:r>
            <w:r w:rsidR="00EB7C18">
              <w:rPr>
                <w:rFonts w:eastAsia="Arial"/>
                <w:b/>
                <w:sz w:val="24"/>
                <w:szCs w:val="24"/>
              </w:rPr>
              <w:t>.</w:t>
            </w:r>
            <w:r w:rsidR="00EB7C18" w:rsidRPr="00207B41">
              <w:rPr>
                <w:rFonts w:eastAsia="Arial"/>
                <w:b/>
                <w:sz w:val="24"/>
                <w:szCs w:val="24"/>
              </w:rPr>
              <w:t>-VI</w:t>
            </w:r>
          </w:p>
        </w:tc>
      </w:tr>
      <w:tr w:rsidR="00FF130D" w:rsidRPr="00207B41" w14:paraId="3B86527D" w14:textId="77777777" w:rsidTr="00EB7C18">
        <w:trPr>
          <w:trHeight w:val="407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1546C380" w14:textId="77777777" w:rsidR="00112D7A" w:rsidRPr="00207B41" w:rsidRDefault="00112D7A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R.br.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56C6B9B9" w14:textId="77777777" w:rsidR="00112D7A" w:rsidRPr="00207B41" w:rsidRDefault="00112D7A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Tarifna oznaka</w:t>
            </w:r>
          </w:p>
        </w:tc>
        <w:tc>
          <w:tcPr>
            <w:tcW w:w="3811" w:type="dxa"/>
            <w:shd w:val="clear" w:color="auto" w:fill="FFFFFF"/>
            <w:vAlign w:val="center"/>
          </w:tcPr>
          <w:p w14:paraId="20CFDF33" w14:textId="77777777" w:rsidR="00112D7A" w:rsidRPr="00207B41" w:rsidRDefault="00112D7A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Naziv robe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61B27E11" w14:textId="77777777" w:rsidR="00112D7A" w:rsidRPr="00207B41" w:rsidRDefault="00AD4149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USD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179B4A83" w14:textId="77777777" w:rsidR="00112D7A" w:rsidRPr="00207B41" w:rsidRDefault="00481EEC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%</w:t>
            </w:r>
          </w:p>
        </w:tc>
      </w:tr>
      <w:tr w:rsidR="00EB7C18" w:rsidRPr="00207B41" w14:paraId="282BF170" w14:textId="77777777" w:rsidTr="00EB7C18">
        <w:trPr>
          <w:trHeight w:val="407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2B176984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C37BA34" w14:textId="56D43B12" w:rsidR="00EB7C18" w:rsidRPr="00EB7C18" w:rsidRDefault="00EB7C18" w:rsidP="00EB7C18">
            <w:pPr>
              <w:jc w:val="center"/>
              <w:rPr>
                <w:sz w:val="24"/>
                <w:szCs w:val="24"/>
              </w:rPr>
            </w:pPr>
            <w:r w:rsidRPr="00EB7C18">
              <w:rPr>
                <w:sz w:val="24"/>
                <w:szCs w:val="24"/>
              </w:rPr>
              <w:t>8903</w:t>
            </w:r>
          </w:p>
        </w:tc>
        <w:tc>
          <w:tcPr>
            <w:tcW w:w="381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0EF4125" w14:textId="2F4B468A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Jahte i druga plovila za sport ili razbibrigu; brodice na vesla i kanui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5A303A1" w14:textId="008BE872" w:rsidR="00EB7C18" w:rsidRPr="00207B41" w:rsidRDefault="00EB7C18" w:rsidP="00EB7C18">
            <w:pPr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1.813.994</w:t>
            </w:r>
          </w:p>
        </w:tc>
        <w:tc>
          <w:tcPr>
            <w:tcW w:w="136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9CF1380" w14:textId="08FCC55B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,4</w:t>
            </w:r>
          </w:p>
        </w:tc>
      </w:tr>
      <w:tr w:rsidR="00EB7C18" w:rsidRPr="00207B41" w14:paraId="6D0C1C10" w14:textId="77777777" w:rsidTr="00EB7C18">
        <w:trPr>
          <w:trHeight w:val="678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8DA2AA8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4A3481F" w14:textId="26EB18C0" w:rsidR="00EB7C18" w:rsidRPr="00EB7C18" w:rsidRDefault="00EB7C18" w:rsidP="00EB7C18">
            <w:pPr>
              <w:jc w:val="center"/>
              <w:rPr>
                <w:sz w:val="24"/>
                <w:szCs w:val="24"/>
              </w:rPr>
            </w:pPr>
            <w:r w:rsidRPr="00EB7C18">
              <w:rPr>
                <w:sz w:val="24"/>
                <w:szCs w:val="24"/>
              </w:rPr>
              <w:t>3004</w:t>
            </w:r>
          </w:p>
        </w:tc>
        <w:tc>
          <w:tcPr>
            <w:tcW w:w="381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712A5FB" w14:textId="04802593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 xml:space="preserve">Lijekovi 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176440F" w14:textId="398CF0AA" w:rsidR="00EB7C18" w:rsidRPr="00207B41" w:rsidRDefault="00EB7C18" w:rsidP="00EB7C18">
            <w:pPr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1.603.995</w:t>
            </w:r>
          </w:p>
        </w:tc>
        <w:tc>
          <w:tcPr>
            <w:tcW w:w="136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11DBDEF" w14:textId="22370D15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26</w:t>
            </w:r>
          </w:p>
        </w:tc>
      </w:tr>
      <w:tr w:rsidR="00EB7C18" w:rsidRPr="00207B41" w14:paraId="7449163A" w14:textId="77777777" w:rsidTr="00EB7C18">
        <w:trPr>
          <w:trHeight w:val="407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049D9265" w14:textId="77777777" w:rsidR="00EB7C18" w:rsidRPr="00207B41" w:rsidRDefault="00EB7C18" w:rsidP="00EB7C18">
            <w:pPr>
              <w:suppressAutoHyphens w:val="0"/>
              <w:spacing w:after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777979DA" w14:textId="24215737" w:rsidR="00EB7C18" w:rsidRPr="00EB7C18" w:rsidRDefault="00EB7C18" w:rsidP="00EB7C18">
            <w:pPr>
              <w:jc w:val="center"/>
              <w:rPr>
                <w:sz w:val="24"/>
                <w:szCs w:val="24"/>
              </w:rPr>
            </w:pPr>
            <w:r w:rsidRPr="00EB7C18">
              <w:rPr>
                <w:sz w:val="24"/>
                <w:szCs w:val="24"/>
              </w:rPr>
              <w:t>8480</w:t>
            </w:r>
          </w:p>
        </w:tc>
        <w:tc>
          <w:tcPr>
            <w:tcW w:w="381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A44941D" w14:textId="1546914A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Kalupnici za ljevaonice kovina; modelne ploče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3F2D004" w14:textId="6D29AD28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596.149</w:t>
            </w:r>
          </w:p>
        </w:tc>
        <w:tc>
          <w:tcPr>
            <w:tcW w:w="136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522D4C4" w14:textId="2481A259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9,7</w:t>
            </w:r>
          </w:p>
        </w:tc>
      </w:tr>
      <w:tr w:rsidR="00EB7C18" w:rsidRPr="00207B41" w14:paraId="20C1C559" w14:textId="77777777" w:rsidTr="00EB7C18">
        <w:trPr>
          <w:trHeight w:val="392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32E6A3A9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D1AC88A" w14:textId="2E1BAE2D" w:rsidR="00EB7C18" w:rsidRPr="00EB7C18" w:rsidRDefault="00EB7C18" w:rsidP="00EB7C18">
            <w:pPr>
              <w:jc w:val="center"/>
              <w:rPr>
                <w:sz w:val="24"/>
                <w:szCs w:val="24"/>
              </w:rPr>
            </w:pPr>
            <w:r w:rsidRPr="00EB7C18">
              <w:rPr>
                <w:sz w:val="24"/>
                <w:szCs w:val="24"/>
              </w:rPr>
              <w:t>7326</w:t>
            </w:r>
          </w:p>
        </w:tc>
        <w:tc>
          <w:tcPr>
            <w:tcW w:w="381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78C2ABB" w14:textId="3365AE1E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Proizvodi od željeza ili čelika, drugdje nespomenuti i neuključeni, osim lijevanih proizvoda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774FFE2E" w14:textId="35D36301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438.379</w:t>
            </w:r>
          </w:p>
        </w:tc>
        <w:tc>
          <w:tcPr>
            <w:tcW w:w="136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2D71808" w14:textId="7B35BE02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,1</w:t>
            </w:r>
          </w:p>
        </w:tc>
      </w:tr>
      <w:tr w:rsidR="00EB7C18" w:rsidRPr="00207B41" w14:paraId="72BA5FF9" w14:textId="77777777" w:rsidTr="00EB7C18">
        <w:trPr>
          <w:trHeight w:val="392"/>
          <w:tblCellSpacing w:w="20" w:type="dxa"/>
          <w:jc w:val="center"/>
        </w:trPr>
        <w:tc>
          <w:tcPr>
            <w:tcW w:w="1051" w:type="dxa"/>
            <w:shd w:val="clear" w:color="auto" w:fill="FFFFFF"/>
            <w:vAlign w:val="center"/>
          </w:tcPr>
          <w:p w14:paraId="02873576" w14:textId="02E71F02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81AB15B" w14:textId="76F5BBFA" w:rsidR="00EB7C18" w:rsidRPr="00EB7C18" w:rsidRDefault="00EB7C18" w:rsidP="00EB7C18">
            <w:pPr>
              <w:jc w:val="center"/>
              <w:rPr>
                <w:sz w:val="24"/>
                <w:szCs w:val="24"/>
              </w:rPr>
            </w:pPr>
            <w:r w:rsidRPr="00EB7C18">
              <w:rPr>
                <w:sz w:val="24"/>
                <w:szCs w:val="24"/>
              </w:rPr>
              <w:t>2933</w:t>
            </w:r>
          </w:p>
        </w:tc>
        <w:tc>
          <w:tcPr>
            <w:tcW w:w="381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312C075" w14:textId="77B1401B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Heterociklički spojevi samo s dušikovim heteroatomom (atomima)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16E3587" w14:textId="5A8AEF36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349.009</w:t>
            </w:r>
          </w:p>
        </w:tc>
        <w:tc>
          <w:tcPr>
            <w:tcW w:w="1362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C083A88" w14:textId="6AECBC3F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</w:t>
            </w:r>
          </w:p>
        </w:tc>
      </w:tr>
      <w:tr w:rsidR="00FF130D" w:rsidRPr="00207B41" w14:paraId="69158295" w14:textId="77777777" w:rsidTr="00EB7C18">
        <w:trPr>
          <w:trHeight w:val="392"/>
          <w:tblCellSpacing w:w="20" w:type="dxa"/>
          <w:jc w:val="center"/>
        </w:trPr>
        <w:tc>
          <w:tcPr>
            <w:tcW w:w="6312" w:type="dxa"/>
            <w:gridSpan w:val="3"/>
            <w:shd w:val="clear" w:color="auto" w:fill="FFFFFF"/>
            <w:vAlign w:val="center"/>
          </w:tcPr>
          <w:p w14:paraId="44BCA406" w14:textId="77777777" w:rsidR="00CC3729" w:rsidRPr="00207B41" w:rsidRDefault="00CC3729" w:rsidP="00642AF7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Prikazan izvoz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3ED58F8" w14:textId="090A5E2E" w:rsidR="00CC3729" w:rsidRPr="00207B41" w:rsidRDefault="006C6468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4.801.526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137ACCF5" w14:textId="37CFC742" w:rsidR="00870766" w:rsidRPr="00207B41" w:rsidRDefault="00EB7C18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77,8</w:t>
            </w:r>
          </w:p>
        </w:tc>
      </w:tr>
      <w:tr w:rsidR="00FF130D" w:rsidRPr="00207B41" w14:paraId="5039B6CC" w14:textId="77777777" w:rsidTr="00EB7C18">
        <w:trPr>
          <w:trHeight w:val="392"/>
          <w:tblCellSpacing w:w="20" w:type="dxa"/>
          <w:jc w:val="center"/>
        </w:trPr>
        <w:tc>
          <w:tcPr>
            <w:tcW w:w="6312" w:type="dxa"/>
            <w:gridSpan w:val="3"/>
            <w:shd w:val="clear" w:color="auto" w:fill="FFFFFF"/>
            <w:vAlign w:val="center"/>
          </w:tcPr>
          <w:p w14:paraId="793F7514" w14:textId="77777777" w:rsidR="00CC3729" w:rsidRPr="00207B41" w:rsidRDefault="00CC3729" w:rsidP="00642AF7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Ukupan izvoz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127B7023" w14:textId="7B801223" w:rsidR="00CC3729" w:rsidRPr="00207B41" w:rsidRDefault="006C6468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6.169.583</w:t>
            </w:r>
          </w:p>
        </w:tc>
        <w:tc>
          <w:tcPr>
            <w:tcW w:w="1362" w:type="dxa"/>
            <w:shd w:val="clear" w:color="auto" w:fill="FFFFFF"/>
            <w:vAlign w:val="center"/>
          </w:tcPr>
          <w:p w14:paraId="2489A989" w14:textId="6F004138" w:rsidR="00CC3729" w:rsidRPr="00207B41" w:rsidRDefault="00CC3729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51269BA1" w14:textId="637E5BF5" w:rsidR="008C3671" w:rsidRDefault="00481EEC" w:rsidP="00642AF7">
      <w:pPr>
        <w:pStyle w:val="INormal"/>
        <w:rPr>
          <w:rFonts w:cs="Arial"/>
          <w:i/>
          <w:lang w:val="hr-HR"/>
        </w:rPr>
      </w:pPr>
      <w:r w:rsidRPr="00207B41">
        <w:rPr>
          <w:rFonts w:cs="Arial"/>
          <w:i/>
          <w:lang w:val="hr-HR"/>
        </w:rPr>
        <w:t xml:space="preserve">Izvor: </w:t>
      </w:r>
      <w:r w:rsidR="00870766" w:rsidRPr="00207B41">
        <w:rPr>
          <w:rFonts w:cs="Arial"/>
          <w:i/>
          <w:lang w:val="hr-HR"/>
        </w:rPr>
        <w:t>DZS</w:t>
      </w:r>
    </w:p>
    <w:p w14:paraId="019AC2EA" w14:textId="77777777" w:rsidR="00105956" w:rsidRPr="00207B41" w:rsidRDefault="00105956" w:rsidP="00642AF7">
      <w:pPr>
        <w:pStyle w:val="INormal"/>
        <w:rPr>
          <w:rFonts w:cs="Arial"/>
          <w:i/>
          <w:lang w:val="hr-HR"/>
        </w:rPr>
      </w:pPr>
    </w:p>
    <w:tbl>
      <w:tblPr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1"/>
        <w:gridCol w:w="3849"/>
        <w:gridCol w:w="1488"/>
        <w:gridCol w:w="1634"/>
      </w:tblGrid>
      <w:tr w:rsidR="00FF130D" w:rsidRPr="00207B41" w14:paraId="5525E1DD" w14:textId="77777777" w:rsidTr="00EB7C18">
        <w:trPr>
          <w:trHeight w:val="569"/>
          <w:tblCellSpacing w:w="20" w:type="dxa"/>
        </w:trPr>
        <w:tc>
          <w:tcPr>
            <w:tcW w:w="9155" w:type="dxa"/>
            <w:gridSpan w:val="5"/>
            <w:shd w:val="clear" w:color="auto" w:fill="9CC2E5" w:themeFill="accent1" w:themeFillTint="99"/>
            <w:vAlign w:val="center"/>
          </w:tcPr>
          <w:p w14:paraId="512D626D" w14:textId="5E75DA20" w:rsidR="00481EEC" w:rsidRPr="00207B41" w:rsidRDefault="008C3671" w:rsidP="00642AF7">
            <w:pPr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STRUKTURA NAJZNAČAJNIJIH UVOZNIH PROIZVODA</w:t>
            </w:r>
            <w:r w:rsidR="00EB7C18">
              <w:rPr>
                <w:rFonts w:eastAsia="Arial"/>
                <w:b/>
                <w:sz w:val="24"/>
                <w:szCs w:val="24"/>
              </w:rPr>
              <w:t xml:space="preserve">, </w:t>
            </w:r>
            <w:r w:rsidR="00EB7C18" w:rsidRPr="00207B41">
              <w:rPr>
                <w:rFonts w:eastAsia="Arial"/>
                <w:b/>
                <w:sz w:val="24"/>
                <w:szCs w:val="24"/>
              </w:rPr>
              <w:t>2025.</w:t>
            </w:r>
            <w:r w:rsidR="00EB7C18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EB7C18" w:rsidRPr="00207B41">
              <w:rPr>
                <w:rFonts w:eastAsia="Arial"/>
                <w:b/>
                <w:sz w:val="24"/>
                <w:szCs w:val="24"/>
              </w:rPr>
              <w:t>I</w:t>
            </w:r>
            <w:r w:rsidR="00EB7C18">
              <w:rPr>
                <w:rFonts w:eastAsia="Arial"/>
                <w:b/>
                <w:sz w:val="24"/>
                <w:szCs w:val="24"/>
              </w:rPr>
              <w:t>.</w:t>
            </w:r>
            <w:r w:rsidR="00EB7C18" w:rsidRPr="00207B41">
              <w:rPr>
                <w:rFonts w:eastAsia="Arial"/>
                <w:b/>
                <w:sz w:val="24"/>
                <w:szCs w:val="24"/>
              </w:rPr>
              <w:t>-VI</w:t>
            </w:r>
          </w:p>
        </w:tc>
      </w:tr>
      <w:tr w:rsidR="00FF130D" w:rsidRPr="00207B41" w14:paraId="305B1A30" w14:textId="77777777" w:rsidTr="00EB7C18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956B533" w14:textId="77777777" w:rsidR="00481EEC" w:rsidRPr="00207B41" w:rsidRDefault="00481EEC" w:rsidP="00642AF7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R.br.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7E723E2A" w14:textId="77777777" w:rsidR="00481EEC" w:rsidRPr="00207B41" w:rsidRDefault="00481EEC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Tarifna oznaka</w:t>
            </w:r>
          </w:p>
        </w:tc>
        <w:tc>
          <w:tcPr>
            <w:tcW w:w="3809" w:type="dxa"/>
            <w:shd w:val="clear" w:color="auto" w:fill="FFFFFF"/>
            <w:vAlign w:val="center"/>
          </w:tcPr>
          <w:p w14:paraId="7FC7CCE3" w14:textId="77777777" w:rsidR="00481EEC" w:rsidRPr="00207B41" w:rsidRDefault="00481EEC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Naziv robe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2F0C1594" w14:textId="77777777" w:rsidR="00481EEC" w:rsidRPr="00207B41" w:rsidRDefault="00AD4149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USD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7DA4A501" w14:textId="77777777" w:rsidR="00481EEC" w:rsidRPr="00207B41" w:rsidRDefault="00481EEC" w:rsidP="00642AF7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%</w:t>
            </w:r>
          </w:p>
        </w:tc>
      </w:tr>
      <w:tr w:rsidR="00EB7C18" w:rsidRPr="00207B41" w14:paraId="16D5F0A1" w14:textId="77777777" w:rsidTr="00EB7C18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20882F9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B9554A4" w14:textId="27CF80DE" w:rsidR="00EB7C18" w:rsidRPr="00EB7C18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EB7C18">
              <w:rPr>
                <w:rFonts w:eastAsia="Arial"/>
                <w:sz w:val="24"/>
                <w:szCs w:val="24"/>
              </w:rPr>
              <w:t>2101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7ADCC44F" w14:textId="73D9A1C8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Ekstrakti, esencije i koncentrati kave, čaja, mate-čaja i pripravci na osnovi tih proizvoda ili na osnovi kave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263F567" w14:textId="115047FF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2.031.380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FCA16B5" w14:textId="6536AAEB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7,8</w:t>
            </w:r>
          </w:p>
        </w:tc>
      </w:tr>
      <w:tr w:rsidR="00EB7C18" w:rsidRPr="00207B41" w14:paraId="79689F36" w14:textId="77777777" w:rsidTr="00EB7C18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87D16EC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61E52BAE" w14:textId="5E8F798C" w:rsidR="00EB7C18" w:rsidRPr="00EB7C18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EB7C18">
              <w:rPr>
                <w:rFonts w:eastAsia="Arial"/>
                <w:sz w:val="24"/>
                <w:szCs w:val="24"/>
              </w:rPr>
              <w:t>2401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FC9AB26" w14:textId="2FF763B7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Neprerađeni duhan; duhanski otpaci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DF42401" w14:textId="1D5203A4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1.244.096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A160272" w14:textId="0CF15DC4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17</w:t>
            </w:r>
          </w:p>
        </w:tc>
      </w:tr>
      <w:tr w:rsidR="00EB7C18" w:rsidRPr="00207B41" w14:paraId="0DA4C566" w14:textId="77777777" w:rsidTr="00EB7C18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DB0C59E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19A008F" w14:textId="4136D2D7" w:rsidR="00EB7C18" w:rsidRPr="00EB7C18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EB7C18">
              <w:rPr>
                <w:rFonts w:eastAsia="Arial"/>
                <w:sz w:val="24"/>
                <w:szCs w:val="24"/>
              </w:rPr>
              <w:t>3503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C1456B3" w14:textId="43423EE5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 xml:space="preserve">Želatina (uključujući želatinu u listovima kvadratnog i pravokutnog oblika, površinski obrađenu ili ne ili obojenu) 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E78CAE5" w14:textId="4964887C" w:rsidR="00EB7C18" w:rsidRPr="00207B41" w:rsidRDefault="00EB7C18" w:rsidP="00EB7C18">
            <w:pPr>
              <w:suppressAutoHyphens w:val="0"/>
              <w:spacing w:after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972.694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B0C9B0A" w14:textId="388086D8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,3</w:t>
            </w:r>
          </w:p>
        </w:tc>
      </w:tr>
      <w:tr w:rsidR="00EB7C18" w:rsidRPr="00207B41" w14:paraId="2E7D5B77" w14:textId="77777777" w:rsidTr="00EB7C18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53589B7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71F0D2AC" w14:textId="6F4359EB" w:rsidR="00EB7C18" w:rsidRPr="00EB7C18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EB7C18">
              <w:rPr>
                <w:rFonts w:eastAsia="Arial"/>
                <w:sz w:val="24"/>
                <w:szCs w:val="24"/>
              </w:rPr>
              <w:t>4802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ECEFC3B" w14:textId="12B5D0E9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Nepremazani papir i karton, što ih se rabi za pisanje, tiskanje ili ostale grafičke namjene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5AF4511" w14:textId="493C641F" w:rsidR="00EB7C18" w:rsidRPr="00207B41" w:rsidRDefault="00EB7C18" w:rsidP="00EB7C18">
            <w:pPr>
              <w:suppressAutoHyphens w:val="0"/>
              <w:spacing w:after="0"/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459.418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FF96AA7" w14:textId="65021C1E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,3</w:t>
            </w:r>
          </w:p>
        </w:tc>
      </w:tr>
      <w:tr w:rsidR="00EB7C18" w:rsidRPr="00207B41" w14:paraId="06938C35" w14:textId="77777777" w:rsidTr="00EB7C18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1A2AB30F" w14:textId="77777777" w:rsidR="00EB7C18" w:rsidRPr="00207B41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7323FD38" w14:textId="05DD8815" w:rsidR="00EB7C18" w:rsidRPr="00EB7C18" w:rsidRDefault="00EB7C18" w:rsidP="00EB7C18">
            <w:pPr>
              <w:jc w:val="center"/>
              <w:rPr>
                <w:rFonts w:eastAsia="Arial"/>
                <w:sz w:val="24"/>
                <w:szCs w:val="24"/>
              </w:rPr>
            </w:pPr>
            <w:r w:rsidRPr="00EB7C18">
              <w:rPr>
                <w:rFonts w:eastAsia="Arial"/>
                <w:sz w:val="24"/>
                <w:szCs w:val="24"/>
              </w:rPr>
              <w:t>4804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6B64514" w14:textId="1733013C" w:rsidR="00EB7C18" w:rsidRPr="00207B41" w:rsidRDefault="00EB7C18" w:rsidP="00EB7C18">
            <w:pPr>
              <w:jc w:val="left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 xml:space="preserve">Kraft papir i karton, nepremazani, u svicima ili listovima 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984F44B" w14:textId="298BFB70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451.892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C9CCDE4" w14:textId="5012263E" w:rsidR="00EB7C18" w:rsidRPr="00207B41" w:rsidRDefault="00EB7C18" w:rsidP="00EB7C18">
            <w:pPr>
              <w:jc w:val="center"/>
              <w:rPr>
                <w:sz w:val="24"/>
                <w:szCs w:val="24"/>
              </w:rPr>
            </w:pPr>
            <w:r w:rsidRPr="00207B41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,2</w:t>
            </w:r>
          </w:p>
        </w:tc>
      </w:tr>
      <w:tr w:rsidR="00FF130D" w:rsidRPr="00207B41" w14:paraId="6F10E9E3" w14:textId="77777777" w:rsidTr="00EB7C18">
        <w:trPr>
          <w:trHeight w:val="392"/>
          <w:tblCellSpacing w:w="20" w:type="dxa"/>
        </w:trPr>
        <w:tc>
          <w:tcPr>
            <w:tcW w:w="6053" w:type="dxa"/>
            <w:gridSpan w:val="3"/>
            <w:shd w:val="clear" w:color="auto" w:fill="FFFFFF"/>
            <w:vAlign w:val="center"/>
          </w:tcPr>
          <w:p w14:paraId="657681B4" w14:textId="77777777" w:rsidR="00CC3729" w:rsidRPr="00207B41" w:rsidRDefault="00CC3729" w:rsidP="00642AF7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Prikazan uvoz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0E5AB5ED" w14:textId="6E941EF6" w:rsidR="00CC3729" w:rsidRPr="00207B41" w:rsidRDefault="00BE7C40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5.159.480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49020F47" w14:textId="686829C3" w:rsidR="00CC3729" w:rsidRPr="00207B41" w:rsidRDefault="00BE7C40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70</w:t>
            </w:r>
            <w:r w:rsidR="00EB7C18">
              <w:rPr>
                <w:rFonts w:cs="Arial"/>
                <w:b/>
                <w:sz w:val="24"/>
                <w:szCs w:val="24"/>
                <w:lang w:val="hr-HR"/>
              </w:rPr>
              <w:t>,6</w:t>
            </w:r>
          </w:p>
        </w:tc>
      </w:tr>
      <w:tr w:rsidR="00FF130D" w:rsidRPr="00207B41" w14:paraId="5EB119B1" w14:textId="77777777" w:rsidTr="00EB7C18">
        <w:trPr>
          <w:trHeight w:val="392"/>
          <w:tblCellSpacing w:w="20" w:type="dxa"/>
        </w:trPr>
        <w:tc>
          <w:tcPr>
            <w:tcW w:w="6053" w:type="dxa"/>
            <w:gridSpan w:val="3"/>
            <w:shd w:val="clear" w:color="auto" w:fill="FFFFFF"/>
            <w:vAlign w:val="center"/>
          </w:tcPr>
          <w:p w14:paraId="76E99429" w14:textId="77777777" w:rsidR="00CC3729" w:rsidRPr="00207B41" w:rsidRDefault="00CC3729" w:rsidP="00642AF7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Ukupan uvoz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79E5DBE8" w14:textId="02D88137" w:rsidR="00CC3729" w:rsidRPr="00207B41" w:rsidRDefault="00BE7C40" w:rsidP="00642AF7">
            <w:pPr>
              <w:jc w:val="center"/>
              <w:rPr>
                <w:b/>
                <w:sz w:val="24"/>
                <w:szCs w:val="24"/>
              </w:rPr>
            </w:pPr>
            <w:r w:rsidRPr="00207B41">
              <w:rPr>
                <w:b/>
                <w:sz w:val="24"/>
                <w:szCs w:val="24"/>
              </w:rPr>
              <w:t>7.304.003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02324C98" w14:textId="72FDE00D" w:rsidR="00CC3729" w:rsidRPr="00207B41" w:rsidRDefault="00CC372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100</w:t>
            </w:r>
          </w:p>
        </w:tc>
      </w:tr>
    </w:tbl>
    <w:p w14:paraId="4B33772A" w14:textId="2E9E649D" w:rsidR="002B7B79" w:rsidRPr="00207B41" w:rsidRDefault="00481EEC" w:rsidP="00642AF7">
      <w:pPr>
        <w:rPr>
          <w:i/>
        </w:rPr>
      </w:pPr>
      <w:r w:rsidRPr="00207B41">
        <w:rPr>
          <w:i/>
        </w:rPr>
        <w:t xml:space="preserve">Izvor: </w:t>
      </w:r>
      <w:r w:rsidR="00870766" w:rsidRPr="00207B41">
        <w:rPr>
          <w:i/>
        </w:rPr>
        <w:t>DZS</w:t>
      </w:r>
    </w:p>
    <w:p w14:paraId="0D8696FB" w14:textId="77777777" w:rsidR="00F37C6D" w:rsidRPr="00207B41" w:rsidRDefault="00F37C6D" w:rsidP="00642AF7">
      <w:pPr>
        <w:rPr>
          <w:i/>
        </w:rPr>
      </w:pPr>
    </w:p>
    <w:p w14:paraId="55DC1736" w14:textId="77777777" w:rsidR="002B7B79" w:rsidRPr="00207B41" w:rsidRDefault="002B7B79" w:rsidP="0064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</w:rPr>
      </w:pPr>
      <w:r w:rsidRPr="00207B41">
        <w:rPr>
          <w:rFonts w:eastAsia="Arial"/>
          <w:b/>
          <w:sz w:val="24"/>
          <w:szCs w:val="24"/>
        </w:rPr>
        <w:t>Međunarodni ugovori iz područja gospodarstva</w:t>
      </w:r>
    </w:p>
    <w:p w14:paraId="7773524C" w14:textId="2C4618B6" w:rsidR="002B7B79" w:rsidRPr="00642AF7" w:rsidRDefault="00530D92" w:rsidP="00642AF7">
      <w:pPr>
        <w:pStyle w:val="ListParagraph"/>
        <w:numPr>
          <w:ilvl w:val="0"/>
          <w:numId w:val="3"/>
        </w:numPr>
        <w:spacing w:after="0"/>
        <w:rPr>
          <w:rFonts w:eastAsia="Arial"/>
          <w:i/>
          <w:sz w:val="24"/>
          <w:szCs w:val="24"/>
        </w:rPr>
      </w:pPr>
      <w:r w:rsidRPr="00642AF7">
        <w:rPr>
          <w:rFonts w:eastAsia="Arial"/>
          <w:b/>
          <w:sz w:val="24"/>
          <w:szCs w:val="24"/>
        </w:rPr>
        <w:t xml:space="preserve">Sporazum o suradnji na području turizma između Vlade Republike Hrvatske i Vlade Savezne Republike Brazila </w:t>
      </w:r>
      <w:r w:rsidRPr="00642AF7">
        <w:rPr>
          <w:rFonts w:eastAsia="Arial"/>
          <w:sz w:val="24"/>
          <w:szCs w:val="24"/>
        </w:rPr>
        <w:t xml:space="preserve">– </w:t>
      </w:r>
      <w:r w:rsidRPr="00642AF7">
        <w:rPr>
          <w:rFonts w:eastAsia="Arial"/>
          <w:i/>
          <w:sz w:val="24"/>
          <w:szCs w:val="24"/>
        </w:rPr>
        <w:t>(datum potpisivanja: 07.6.2001.; objava u NN-MU: 05/2005; stupanje na snagu: 07.4.2006.; objava stupanja na snagu: 02/2008)</w:t>
      </w:r>
    </w:p>
    <w:p w14:paraId="36681B7A" w14:textId="77777777" w:rsidR="0085456C" w:rsidRPr="00207B41" w:rsidRDefault="0085456C" w:rsidP="00642AF7">
      <w:pPr>
        <w:rPr>
          <w:rFonts w:eastAsia="Arial"/>
          <w:b/>
          <w:sz w:val="24"/>
          <w:szCs w:val="24"/>
        </w:rPr>
      </w:pPr>
    </w:p>
    <w:p w14:paraId="52F2F475" w14:textId="77777777" w:rsidR="0085456C" w:rsidRPr="00207B41" w:rsidRDefault="0085456C" w:rsidP="00642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</w:rPr>
      </w:pPr>
      <w:r w:rsidRPr="00207B41">
        <w:rPr>
          <w:rFonts w:eastAsia="Arial"/>
          <w:b/>
          <w:sz w:val="24"/>
          <w:szCs w:val="24"/>
        </w:rPr>
        <w:t>Bilateralna gospodarska udruženja</w:t>
      </w:r>
    </w:p>
    <w:p w14:paraId="5AC6A522" w14:textId="10003E66" w:rsidR="0085456C" w:rsidRPr="00207B41" w:rsidRDefault="0085456C" w:rsidP="00642AF7">
      <w:pPr>
        <w:spacing w:after="0"/>
        <w:rPr>
          <w:rFonts w:eastAsia="Arial"/>
          <w:iCs/>
          <w:sz w:val="24"/>
          <w:szCs w:val="24"/>
        </w:rPr>
      </w:pPr>
      <w:r w:rsidRPr="00207B41">
        <w:rPr>
          <w:rFonts w:eastAsia="Arial"/>
          <w:b/>
          <w:bCs/>
          <w:iCs/>
          <w:sz w:val="24"/>
          <w:szCs w:val="24"/>
        </w:rPr>
        <w:t>Gospodarska, studijska i poslovna komora Brazil-Hrvatska</w:t>
      </w:r>
      <w:r w:rsidRPr="00207B41">
        <w:rPr>
          <w:rFonts w:eastAsia="Arial"/>
          <w:iCs/>
          <w:sz w:val="24"/>
          <w:szCs w:val="24"/>
        </w:rPr>
        <w:t xml:space="preserve"> – </w:t>
      </w:r>
      <w:r w:rsidRPr="00207B41">
        <w:rPr>
          <w:rFonts w:eastAsia="Arial"/>
          <w:b/>
          <w:bCs/>
          <w:iCs/>
          <w:sz w:val="24"/>
          <w:szCs w:val="24"/>
        </w:rPr>
        <w:t>BRACRO</w:t>
      </w:r>
      <w:r w:rsidRPr="00207B41">
        <w:rPr>
          <w:rFonts w:eastAsia="Arial"/>
          <w:iCs/>
          <w:sz w:val="24"/>
          <w:szCs w:val="24"/>
        </w:rPr>
        <w:t xml:space="preserve"> </w:t>
      </w:r>
      <w:r w:rsidRPr="00207B41">
        <w:rPr>
          <w:rFonts w:eastAsia="Arial"/>
          <w:i/>
          <w:sz w:val="24"/>
          <w:szCs w:val="24"/>
        </w:rPr>
        <w:t>(Câmara de Comércio, Estudos e Negócios Brasil-Croácia)</w:t>
      </w:r>
      <w:r w:rsidRPr="00207B41">
        <w:rPr>
          <w:rFonts w:eastAsia="Arial"/>
          <w:iCs/>
          <w:sz w:val="24"/>
          <w:szCs w:val="24"/>
        </w:rPr>
        <w:t xml:space="preserve">, osnovana 2023. godine u São Paulu </w:t>
      </w:r>
      <w:r w:rsidR="00277D8E" w:rsidRPr="00207B41">
        <w:rPr>
          <w:rFonts w:eastAsia="Arial"/>
          <w:iCs/>
          <w:sz w:val="24"/>
          <w:szCs w:val="24"/>
        </w:rPr>
        <w:t xml:space="preserve">- </w:t>
      </w:r>
      <w:hyperlink r:id="rId8" w:history="1">
        <w:r w:rsidR="00277D8E" w:rsidRPr="00207B41">
          <w:rPr>
            <w:rStyle w:val="Hyperlink"/>
            <w:rFonts w:eastAsia="Arial"/>
            <w:iCs/>
            <w:sz w:val="24"/>
            <w:szCs w:val="24"/>
          </w:rPr>
          <w:t>https://camarabrasilcroacia.com.br/</w:t>
        </w:r>
      </w:hyperlink>
      <w:r w:rsidR="00277D8E" w:rsidRPr="00207B41">
        <w:rPr>
          <w:rFonts w:eastAsia="Arial"/>
          <w:iCs/>
          <w:sz w:val="24"/>
          <w:szCs w:val="24"/>
        </w:rPr>
        <w:t xml:space="preserve"> </w:t>
      </w:r>
    </w:p>
    <w:p w14:paraId="74668021" w14:textId="21ABA6A9" w:rsidR="00277D8E" w:rsidRPr="00207B41" w:rsidRDefault="00277D8E" w:rsidP="00642AF7">
      <w:pPr>
        <w:spacing w:after="0"/>
        <w:rPr>
          <w:rFonts w:eastAsia="Arial"/>
          <w:iCs/>
          <w:sz w:val="24"/>
          <w:szCs w:val="24"/>
          <w:highlight w:val="yellow"/>
        </w:rPr>
      </w:pPr>
    </w:p>
    <w:p w14:paraId="23AAB30C" w14:textId="77777777" w:rsidR="00970A7D" w:rsidRDefault="00970A7D" w:rsidP="0097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66A3A6E7" w14:textId="77777777" w:rsidR="00970A7D" w:rsidRDefault="00970A7D" w:rsidP="00970A7D">
      <w:pPr>
        <w:suppressAutoHyphens w:val="0"/>
        <w:spacing w:line="276" w:lineRule="auto"/>
        <w:contextualSpacing/>
      </w:pPr>
      <w:r>
        <w:rPr>
          <w:sz w:val="24"/>
          <w:szCs w:val="24"/>
        </w:rPr>
        <w:t>Izvozne prilike</w:t>
      </w:r>
      <w:r>
        <w:rPr>
          <w:sz w:val="24"/>
          <w:szCs w:val="24"/>
          <w:lang w:val="la-Latn"/>
        </w:rPr>
        <w:t xml:space="preserve">: </w:t>
      </w:r>
      <w:hyperlink r:id="rId9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Izvozne prilike</w:t>
        </w:r>
      </w:hyperlink>
    </w:p>
    <w:p w14:paraId="2F46DA10" w14:textId="77777777" w:rsidR="00970A7D" w:rsidRDefault="00970A7D" w:rsidP="00970A7D">
      <w:pPr>
        <w:suppressAutoHyphens w:val="0"/>
        <w:spacing w:line="276" w:lineRule="auto"/>
        <w:contextualSpacing/>
        <w:rPr>
          <w:sz w:val="24"/>
          <w:szCs w:val="24"/>
          <w:lang w:val="la-Latn"/>
        </w:rPr>
      </w:pPr>
      <w:r>
        <w:rPr>
          <w:sz w:val="24"/>
          <w:szCs w:val="24"/>
          <w:lang w:val="la-Latn"/>
        </w:rPr>
        <w:t xml:space="preserve">Najave sajmova: </w:t>
      </w:r>
      <w:hyperlink r:id="rId10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Najave</w:t>
        </w:r>
      </w:hyperlink>
    </w:p>
    <w:p w14:paraId="4C28721A" w14:textId="77777777" w:rsidR="00970A7D" w:rsidRDefault="00970A7D" w:rsidP="00970A7D">
      <w:pPr>
        <w:suppressAutoHyphens w:val="0"/>
        <w:spacing w:after="0" w:line="276" w:lineRule="auto"/>
        <w:ind w:left="360"/>
        <w:contextualSpacing/>
      </w:pPr>
    </w:p>
    <w:p w14:paraId="46AE2490" w14:textId="77777777" w:rsidR="00970A7D" w:rsidRDefault="00970A7D" w:rsidP="0097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>
        <w:rPr>
          <w:rFonts w:eastAsia="Arial"/>
          <w:b/>
          <w:sz w:val="24"/>
          <w:szCs w:val="24"/>
          <w:lang w:val="la-Latn"/>
        </w:rPr>
        <w:t>Posebne napomene</w:t>
      </w:r>
    </w:p>
    <w:p w14:paraId="21BD8F57" w14:textId="77777777" w:rsidR="00970A7D" w:rsidRDefault="00970A7D" w:rsidP="00970A7D">
      <w:pPr>
        <w:spacing w:line="276" w:lineRule="auto"/>
        <w:contextualSpacing/>
        <w:rPr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Gospodarska diplomacija: </w:t>
      </w:r>
      <w:hyperlink r:id="rId11" w:history="1">
        <w:r>
          <w:rPr>
            <w:rStyle w:val="Hyperlink"/>
            <w:rFonts w:eastAsia="Arial"/>
            <w:sz w:val="24"/>
            <w:szCs w:val="24"/>
            <w:lang w:val="la-Latn"/>
          </w:rPr>
          <w:t>Ministarstvo vanjskih i europskih poslova RH - O gospodarskoj diplomaciji</w:t>
        </w:r>
      </w:hyperlink>
    </w:p>
    <w:p w14:paraId="0030CD15" w14:textId="77777777" w:rsidR="00970A7D" w:rsidRDefault="00970A7D" w:rsidP="00970A7D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2" w:history="1">
        <w:r>
          <w:rPr>
            <w:rStyle w:val="Hyperlink"/>
            <w:rFonts w:eastAsia="Arial"/>
            <w:sz w:val="24"/>
            <w:szCs w:val="24"/>
          </w:rPr>
          <w:t>Ministarstvo vanjskih i europskih poslova RH - Zahtjev za podršku izvozniku</w:t>
        </w:r>
      </w:hyperlink>
    </w:p>
    <w:p w14:paraId="6B385540" w14:textId="77777777" w:rsidR="00970A7D" w:rsidRDefault="00970A7D" w:rsidP="00970A7D">
      <w:pPr>
        <w:spacing w:line="276" w:lineRule="auto"/>
        <w:contextualSpacing/>
        <w:rPr>
          <w:rFonts w:eastAsia="Arial"/>
        </w:rPr>
      </w:pPr>
      <w:r>
        <w:rPr>
          <w:rFonts w:eastAsia="Arial"/>
          <w:sz w:val="24"/>
          <w:szCs w:val="24"/>
        </w:rPr>
        <w:t xml:space="preserve">Izvozni portal:  </w:t>
      </w:r>
      <w:hyperlink r:id="rId13" w:history="1">
        <w:r>
          <w:rPr>
            <w:rStyle w:val="Hyperlink"/>
            <w:rFonts w:eastAsia="Arial"/>
            <w:sz w:val="24"/>
            <w:szCs w:val="24"/>
          </w:rPr>
          <w:t>https://izvoz.gov.hr/</w:t>
        </w:r>
      </w:hyperlink>
      <w:r>
        <w:rPr>
          <w:rFonts w:eastAsia="Arial"/>
          <w:color w:val="0000FF"/>
          <w:u w:val="single"/>
        </w:rPr>
        <w:t xml:space="preserve"> </w:t>
      </w:r>
    </w:p>
    <w:p w14:paraId="6B2B620C" w14:textId="77777777" w:rsidR="00970A7D" w:rsidRDefault="00970A7D" w:rsidP="00970A7D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>
        <w:rPr>
          <w:rFonts w:eastAsia="Arial"/>
          <w:sz w:val="24"/>
          <w:szCs w:val="24"/>
        </w:rPr>
        <w:t xml:space="preserve">Access2Market portal EK: </w:t>
      </w:r>
      <w:hyperlink r:id="rId14" w:history="1">
        <w:r>
          <w:rPr>
            <w:rStyle w:val="Hyperlink"/>
            <w:rFonts w:eastAsia="Arial"/>
            <w:sz w:val="24"/>
            <w:szCs w:val="24"/>
          </w:rPr>
          <w:t>https://trade.ec.europa.eu/access-to-markets/hr/home</w:t>
        </w:r>
      </w:hyperlink>
      <w:r>
        <w:rPr>
          <w:rFonts w:eastAsia="Arial"/>
          <w:color w:val="0000FF"/>
          <w:sz w:val="24"/>
          <w:szCs w:val="24"/>
          <w:u w:val="single"/>
        </w:rPr>
        <w:t xml:space="preserve"> </w:t>
      </w:r>
    </w:p>
    <w:p w14:paraId="2C8D3936" w14:textId="77777777" w:rsidR="002B7B79" w:rsidRPr="00207B41" w:rsidRDefault="002B7B79" w:rsidP="00642AF7">
      <w:pPr>
        <w:suppressAutoHyphens w:val="0"/>
        <w:spacing w:after="0"/>
        <w:jc w:val="left"/>
        <w:rPr>
          <w:sz w:val="24"/>
          <w:szCs w:val="24"/>
        </w:rPr>
      </w:pPr>
    </w:p>
    <w:sectPr w:rsidR="002B7B79" w:rsidRPr="00207B41" w:rsidSect="002C63E6">
      <w:footerReference w:type="default" r:id="rId15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CE24D" w14:textId="77777777" w:rsidR="0094258A" w:rsidRDefault="0094258A" w:rsidP="00895B93">
      <w:pPr>
        <w:spacing w:after="0"/>
      </w:pPr>
      <w:r>
        <w:separator/>
      </w:r>
    </w:p>
  </w:endnote>
  <w:endnote w:type="continuationSeparator" w:id="0">
    <w:p w14:paraId="019AA183" w14:textId="77777777" w:rsidR="0094258A" w:rsidRDefault="0094258A" w:rsidP="00895B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E977A" w14:textId="77777777" w:rsidR="00895B93" w:rsidRDefault="00895B93" w:rsidP="00895B93"/>
  <w:p w14:paraId="0D860422" w14:textId="5A335D93" w:rsidR="00895B93" w:rsidRDefault="00895B93" w:rsidP="00895B93">
    <w:pPr>
      <w:pStyle w:val="IFooter"/>
    </w:pPr>
    <w:r>
      <w:t xml:space="preserve">Ažurirano: Zagreb, </w:t>
    </w:r>
    <w:r>
      <w:fldChar w:fldCharType="begin"/>
    </w:r>
    <w:r>
      <w:instrText xml:space="preserve"> DATE  \@ "d.M.yyyy." </w:instrText>
    </w:r>
    <w:r>
      <w:fldChar w:fldCharType="separate"/>
    </w:r>
    <w:r w:rsidR="00315531">
      <w:rPr>
        <w:noProof/>
      </w:rPr>
      <w:t>18.2.2026.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017369">
      <w:rPr>
        <w:noProof/>
      </w:rPr>
      <w:t>2</w:t>
    </w:r>
    <w:r>
      <w:fldChar w:fldCharType="end"/>
    </w:r>
  </w:p>
  <w:p w14:paraId="69593389" w14:textId="77777777" w:rsidR="00895B93" w:rsidRDefault="00895B93">
    <w:pPr>
      <w:pStyle w:val="Footer"/>
    </w:pPr>
  </w:p>
  <w:p w14:paraId="1E1B0EE6" w14:textId="77777777" w:rsidR="00895B93" w:rsidRDefault="00895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09E04" w14:textId="77777777" w:rsidR="0094258A" w:rsidRDefault="0094258A" w:rsidP="00895B93">
      <w:pPr>
        <w:spacing w:after="0"/>
      </w:pPr>
      <w:r>
        <w:separator/>
      </w:r>
    </w:p>
  </w:footnote>
  <w:footnote w:type="continuationSeparator" w:id="0">
    <w:p w14:paraId="2227EF5B" w14:textId="77777777" w:rsidR="0094258A" w:rsidRDefault="0094258A" w:rsidP="00895B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38"/>
        </w:tabs>
        <w:ind w:left="738" w:hanging="738"/>
      </w:pPr>
      <w:rPr>
        <w:rFonts w:ascii="StarSymbol" w:hAnsi="StarSymbol" w:cs="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7EB0334"/>
    <w:multiLevelType w:val="multilevel"/>
    <w:tmpl w:val="3A3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093004"/>
    <w:multiLevelType w:val="hybridMultilevel"/>
    <w:tmpl w:val="9E362F5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2E161D"/>
    <w:multiLevelType w:val="multilevel"/>
    <w:tmpl w:val="F770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B6BB3"/>
    <w:multiLevelType w:val="multilevel"/>
    <w:tmpl w:val="1440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40252"/>
    <w:multiLevelType w:val="multilevel"/>
    <w:tmpl w:val="5A34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D00ACB"/>
    <w:multiLevelType w:val="multilevel"/>
    <w:tmpl w:val="9FBC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37AD8"/>
    <w:multiLevelType w:val="multilevel"/>
    <w:tmpl w:val="0340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67B0E"/>
    <w:multiLevelType w:val="multilevel"/>
    <w:tmpl w:val="38EA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1D5274"/>
    <w:multiLevelType w:val="multilevel"/>
    <w:tmpl w:val="C4962A60"/>
    <w:lvl w:ilvl="0">
      <w:start w:val="1"/>
      <w:numFmt w:val="decimal"/>
      <w:pStyle w:val="IPodnaslo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86D39F9"/>
    <w:multiLevelType w:val="multilevel"/>
    <w:tmpl w:val="963CF914"/>
    <w:lvl w:ilvl="0">
      <w:start w:val="1"/>
      <w:numFmt w:val="decimal"/>
      <w:pStyle w:val="IPodnaslov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7BC17C13"/>
    <w:multiLevelType w:val="multilevel"/>
    <w:tmpl w:val="58FE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583028"/>
    <w:multiLevelType w:val="multilevel"/>
    <w:tmpl w:val="4560E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3"/>
  </w:num>
  <w:num w:numId="8">
    <w:abstractNumId w:val="6"/>
  </w:num>
  <w:num w:numId="9">
    <w:abstractNumId w:val="9"/>
  </w:num>
  <w:num w:numId="10">
    <w:abstractNumId w:val="5"/>
  </w:num>
  <w:num w:numId="11">
    <w:abstractNumId w:val="12"/>
  </w:num>
  <w:num w:numId="12">
    <w:abstractNumId w:val="7"/>
  </w:num>
  <w:num w:numId="13">
    <w:abstractNumId w:val="4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17369"/>
    <w:rsid w:val="000474F5"/>
    <w:rsid w:val="00052941"/>
    <w:rsid w:val="00054832"/>
    <w:rsid w:val="00060554"/>
    <w:rsid w:val="00070A63"/>
    <w:rsid w:val="000720C7"/>
    <w:rsid w:val="00090FA6"/>
    <w:rsid w:val="000A1906"/>
    <w:rsid w:val="000A7A7F"/>
    <w:rsid w:val="000E4402"/>
    <w:rsid w:val="000F02D2"/>
    <w:rsid w:val="000F5FCF"/>
    <w:rsid w:val="00104F33"/>
    <w:rsid w:val="00105956"/>
    <w:rsid w:val="00111618"/>
    <w:rsid w:val="00112D7A"/>
    <w:rsid w:val="00120B78"/>
    <w:rsid w:val="001322CB"/>
    <w:rsid w:val="0013618F"/>
    <w:rsid w:val="00140FCF"/>
    <w:rsid w:val="00155D49"/>
    <w:rsid w:val="00172F08"/>
    <w:rsid w:val="00175C32"/>
    <w:rsid w:val="00176857"/>
    <w:rsid w:val="001930D9"/>
    <w:rsid w:val="001B7EDE"/>
    <w:rsid w:val="001C4F3E"/>
    <w:rsid w:val="001D61B2"/>
    <w:rsid w:val="00207B41"/>
    <w:rsid w:val="00225E3E"/>
    <w:rsid w:val="00236F88"/>
    <w:rsid w:val="002455B9"/>
    <w:rsid w:val="0025488F"/>
    <w:rsid w:val="00277D8E"/>
    <w:rsid w:val="002809A5"/>
    <w:rsid w:val="002B6D41"/>
    <w:rsid w:val="002B7B79"/>
    <w:rsid w:val="002C63E6"/>
    <w:rsid w:val="002D607B"/>
    <w:rsid w:val="002E3B95"/>
    <w:rsid w:val="002F5B77"/>
    <w:rsid w:val="00315531"/>
    <w:rsid w:val="0033099E"/>
    <w:rsid w:val="003456A1"/>
    <w:rsid w:val="00380BE6"/>
    <w:rsid w:val="00395EB6"/>
    <w:rsid w:val="003A0EE4"/>
    <w:rsid w:val="003D18A2"/>
    <w:rsid w:val="003D1AA1"/>
    <w:rsid w:val="003E255C"/>
    <w:rsid w:val="004007F1"/>
    <w:rsid w:val="0040328B"/>
    <w:rsid w:val="00403B8D"/>
    <w:rsid w:val="00430FE0"/>
    <w:rsid w:val="00431CED"/>
    <w:rsid w:val="004374CF"/>
    <w:rsid w:val="004624E2"/>
    <w:rsid w:val="00481EEC"/>
    <w:rsid w:val="00497E57"/>
    <w:rsid w:val="004A6E1E"/>
    <w:rsid w:val="004E1D67"/>
    <w:rsid w:val="004F3D20"/>
    <w:rsid w:val="0050238A"/>
    <w:rsid w:val="005218E8"/>
    <w:rsid w:val="00527B59"/>
    <w:rsid w:val="00530D92"/>
    <w:rsid w:val="00550977"/>
    <w:rsid w:val="0055228F"/>
    <w:rsid w:val="00555B39"/>
    <w:rsid w:val="005606EC"/>
    <w:rsid w:val="00587ED8"/>
    <w:rsid w:val="005C7117"/>
    <w:rsid w:val="005F222A"/>
    <w:rsid w:val="005F3D38"/>
    <w:rsid w:val="006104D0"/>
    <w:rsid w:val="006210A7"/>
    <w:rsid w:val="00642AF7"/>
    <w:rsid w:val="00642C4E"/>
    <w:rsid w:val="00680654"/>
    <w:rsid w:val="00687BAC"/>
    <w:rsid w:val="006B249F"/>
    <w:rsid w:val="006B46EC"/>
    <w:rsid w:val="006C6468"/>
    <w:rsid w:val="006E425B"/>
    <w:rsid w:val="006F0723"/>
    <w:rsid w:val="006F0A29"/>
    <w:rsid w:val="006F5C4D"/>
    <w:rsid w:val="006F7791"/>
    <w:rsid w:val="007058D8"/>
    <w:rsid w:val="007113E8"/>
    <w:rsid w:val="007263D1"/>
    <w:rsid w:val="00783604"/>
    <w:rsid w:val="00786790"/>
    <w:rsid w:val="007C6E9E"/>
    <w:rsid w:val="007E788A"/>
    <w:rsid w:val="008106B2"/>
    <w:rsid w:val="008164DB"/>
    <w:rsid w:val="0083447D"/>
    <w:rsid w:val="008510AB"/>
    <w:rsid w:val="00851EF0"/>
    <w:rsid w:val="0085456C"/>
    <w:rsid w:val="00870766"/>
    <w:rsid w:val="00882A27"/>
    <w:rsid w:val="008922DF"/>
    <w:rsid w:val="008950A0"/>
    <w:rsid w:val="00895B93"/>
    <w:rsid w:val="008A0147"/>
    <w:rsid w:val="008A1B23"/>
    <w:rsid w:val="008A7719"/>
    <w:rsid w:val="008B2229"/>
    <w:rsid w:val="008B7A68"/>
    <w:rsid w:val="008C3671"/>
    <w:rsid w:val="008D04EA"/>
    <w:rsid w:val="008D4C4E"/>
    <w:rsid w:val="008E6B5F"/>
    <w:rsid w:val="008F6AE1"/>
    <w:rsid w:val="00911315"/>
    <w:rsid w:val="00923193"/>
    <w:rsid w:val="009306D1"/>
    <w:rsid w:val="009316EC"/>
    <w:rsid w:val="00935C35"/>
    <w:rsid w:val="00937D97"/>
    <w:rsid w:val="0094258A"/>
    <w:rsid w:val="00956D36"/>
    <w:rsid w:val="00960AD1"/>
    <w:rsid w:val="00970A7D"/>
    <w:rsid w:val="00971A4C"/>
    <w:rsid w:val="0098230A"/>
    <w:rsid w:val="00982B17"/>
    <w:rsid w:val="00983C35"/>
    <w:rsid w:val="00990EFA"/>
    <w:rsid w:val="009B182F"/>
    <w:rsid w:val="009B270E"/>
    <w:rsid w:val="009B6524"/>
    <w:rsid w:val="009C0C15"/>
    <w:rsid w:val="009F4E69"/>
    <w:rsid w:val="00A03EB3"/>
    <w:rsid w:val="00A22FEA"/>
    <w:rsid w:val="00A3524D"/>
    <w:rsid w:val="00A365C9"/>
    <w:rsid w:val="00A3702D"/>
    <w:rsid w:val="00A46F65"/>
    <w:rsid w:val="00A5519D"/>
    <w:rsid w:val="00A719E4"/>
    <w:rsid w:val="00A87F75"/>
    <w:rsid w:val="00A97265"/>
    <w:rsid w:val="00AA7985"/>
    <w:rsid w:val="00AB589E"/>
    <w:rsid w:val="00AD4149"/>
    <w:rsid w:val="00AD7FD0"/>
    <w:rsid w:val="00AE0763"/>
    <w:rsid w:val="00AE6414"/>
    <w:rsid w:val="00AF0CBF"/>
    <w:rsid w:val="00B124C7"/>
    <w:rsid w:val="00B327F8"/>
    <w:rsid w:val="00B56256"/>
    <w:rsid w:val="00B72BE0"/>
    <w:rsid w:val="00B75A9A"/>
    <w:rsid w:val="00B80800"/>
    <w:rsid w:val="00B8791E"/>
    <w:rsid w:val="00B90E61"/>
    <w:rsid w:val="00BC3F46"/>
    <w:rsid w:val="00BC728A"/>
    <w:rsid w:val="00BD693D"/>
    <w:rsid w:val="00BE4DEE"/>
    <w:rsid w:val="00BE7C40"/>
    <w:rsid w:val="00C15011"/>
    <w:rsid w:val="00C16671"/>
    <w:rsid w:val="00C35977"/>
    <w:rsid w:val="00C4491A"/>
    <w:rsid w:val="00C46055"/>
    <w:rsid w:val="00C862B8"/>
    <w:rsid w:val="00C91C3B"/>
    <w:rsid w:val="00CB2E31"/>
    <w:rsid w:val="00CB7CFB"/>
    <w:rsid w:val="00CC3729"/>
    <w:rsid w:val="00CD1E97"/>
    <w:rsid w:val="00CD2FBD"/>
    <w:rsid w:val="00CF3655"/>
    <w:rsid w:val="00CF4068"/>
    <w:rsid w:val="00D017B9"/>
    <w:rsid w:val="00D21BE0"/>
    <w:rsid w:val="00D23D89"/>
    <w:rsid w:val="00D31211"/>
    <w:rsid w:val="00D564AE"/>
    <w:rsid w:val="00DB5C00"/>
    <w:rsid w:val="00DD2612"/>
    <w:rsid w:val="00DD75AC"/>
    <w:rsid w:val="00DE4482"/>
    <w:rsid w:val="00E265E6"/>
    <w:rsid w:val="00E4664B"/>
    <w:rsid w:val="00E62431"/>
    <w:rsid w:val="00E65532"/>
    <w:rsid w:val="00E7318C"/>
    <w:rsid w:val="00E74FDB"/>
    <w:rsid w:val="00E75326"/>
    <w:rsid w:val="00E93D9A"/>
    <w:rsid w:val="00EB3DD1"/>
    <w:rsid w:val="00EB7C18"/>
    <w:rsid w:val="00EE7F7A"/>
    <w:rsid w:val="00EF02E1"/>
    <w:rsid w:val="00EF44D4"/>
    <w:rsid w:val="00F00DA4"/>
    <w:rsid w:val="00F04326"/>
    <w:rsid w:val="00F10BF6"/>
    <w:rsid w:val="00F27A45"/>
    <w:rsid w:val="00F323FD"/>
    <w:rsid w:val="00F36A94"/>
    <w:rsid w:val="00F37C6D"/>
    <w:rsid w:val="00F47664"/>
    <w:rsid w:val="00F47980"/>
    <w:rsid w:val="00F54587"/>
    <w:rsid w:val="00F650C5"/>
    <w:rsid w:val="00F6658C"/>
    <w:rsid w:val="00F75441"/>
    <w:rsid w:val="00F96560"/>
    <w:rsid w:val="00FB218B"/>
    <w:rsid w:val="00FD04F2"/>
    <w:rsid w:val="00FE204D"/>
    <w:rsid w:val="00FF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DF9D"/>
  <w15:docId w15:val="{F7C5D509-E999-4E9F-BE5F-88311378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5B9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5B93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95B9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5B93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895B93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unhideWhenUsed/>
    <w:rsid w:val="002B7B79"/>
    <w:rPr>
      <w:color w:val="0000FF"/>
      <w:u w:val="single"/>
    </w:rPr>
  </w:style>
  <w:style w:type="paragraph" w:customStyle="1" w:styleId="IPodnaslov">
    <w:name w:val="IPodnaslov"/>
    <w:next w:val="INormal"/>
    <w:rsid w:val="002C63E6"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</w:tabs>
      <w:suppressAutoHyphens/>
      <w:spacing w:before="240" w:after="120" w:line="240" w:lineRule="auto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530D92"/>
    <w:pPr>
      <w:ind w:left="720"/>
      <w:contextualSpacing/>
    </w:pPr>
  </w:style>
  <w:style w:type="paragraph" w:customStyle="1" w:styleId="IPodnaslov2">
    <w:name w:val="IPodnaslov2"/>
    <w:next w:val="INormal"/>
    <w:rsid w:val="00F36A94"/>
    <w:pPr>
      <w:keepNext/>
      <w:numPr>
        <w:numId w:val="4"/>
      </w:numPr>
      <w:shd w:val="clear" w:color="auto" w:fill="E6E6E6"/>
      <w:tabs>
        <w:tab w:val="left" w:pos="567"/>
      </w:tabs>
      <w:suppressAutoHyphens/>
      <w:spacing w:before="180" w:after="120" w:line="240" w:lineRule="auto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ps">
    <w:name w:val="hps"/>
    <w:rsid w:val="00F36A94"/>
  </w:style>
  <w:style w:type="paragraph" w:customStyle="1" w:styleId="IBul1">
    <w:name w:val="IBul1"/>
    <w:link w:val="IBul1Char"/>
    <w:rsid w:val="00F36A94"/>
    <w:pPr>
      <w:tabs>
        <w:tab w:val="num" w:pos="720"/>
      </w:tabs>
      <w:suppressAutoHyphens/>
      <w:spacing w:after="60" w:line="240" w:lineRule="auto"/>
      <w:ind w:left="720" w:hanging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IBul1Char">
    <w:name w:val="IBul1 Char"/>
    <w:link w:val="IBul1"/>
    <w:rsid w:val="00F36A94"/>
    <w:rPr>
      <w:rFonts w:ascii="Arial" w:eastAsia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D4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D41"/>
    <w:rPr>
      <w:rFonts w:ascii="Tahoma" w:eastAsia="Times New Roman" w:hAnsi="Tahoma" w:cs="Tahoma"/>
      <w:sz w:val="16"/>
      <w:szCs w:val="16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277D8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7E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marabrasilcroacia.com.br/" TargetMode="External"/><Relationship Id="rId13" Type="http://schemas.openxmlformats.org/officeDocument/2006/relationships/hyperlink" Target="https://izvoz.gov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vep.gov.hr/o-hrvatskom-izvozu/zahtjev-za-podrsku-izvozniku/24465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vep.gov.hr/o-gospodarskoj-diplomaciji/22565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vep.gov.hr/najave-225663/22566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vep.gov.hr/o-hrvatskom-izvozu/izvozne-prilike/244678" TargetMode="External"/><Relationship Id="rId14" Type="http://schemas.openxmlformats.org/officeDocument/2006/relationships/hyperlink" Target="https://trade.ec.europa.eu/access-to-markets/hr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B25E6-05A8-499C-A07B-F14F88B7E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Kristijan Žarković</dc:creator>
  <cp:lastModifiedBy>Adrian Vukojević</cp:lastModifiedBy>
  <cp:revision>14</cp:revision>
  <dcterms:created xsi:type="dcterms:W3CDTF">2026-02-09T10:06:00Z</dcterms:created>
  <dcterms:modified xsi:type="dcterms:W3CDTF">2026-02-18T15:13:00Z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521cda37-5621-4a42-9947-c6cbbf413386</vt:lpwstr>
  </property>
</Properties>
</file>